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2011 / 53 vom 14. Oktober 2010</w:t>
      </w:r>
    </w:p>
    <w:p>
      <w:r>
        <w:t>VD Tribunal cantonal, 2010-10-14, FR</w:t>
      </w:r>
    </w:p>
    <w:p>
      <w:r>
        <w:rPr>
          <w:b/>
        </w:rPr>
        <w:t xml:space="preserve">Quelle: </w:t>
      </w:r>
      <w:r>
        <w:t>https://mcp.opencaselaw.ch/entscheid/vd_findinfo_Arr_t___2011___53</w:t>
      </w:r>
    </w:p>
    <w:p>
      <w:r>
        <w:t>FR: VD_FINDINFO Arrêt / 2011 / 53 du 14 octobre 2010</w:t>
      </w:r>
    </w:p>
    <w:p>
      <w:r>
        <w:t>IT: VD_FINDINFO Arrêt / 2011 / 53 del 14 ottobre 2010</w:t>
      </w:r>
    </w:p>
    <w:p>
      <w:pPr>
        <w:pStyle w:val="Heading2"/>
      </w:pPr>
      <w:r>
        <w:t>Regeste</w:t>
      </w:r>
    </w:p>
    <w:p>
      <w:r>
        <w:t>INTERDICTION, TUTELLE, SUPPRESSION{EN GÉNÉRAL} | 372 CC, 438 CC, 489 CPC, 91 LVCC</w:t>
      </w:r>
    </w:p>
    <w:p>
      <w:pPr>
        <w:pStyle w:val="Heading2"/>
      </w:pPr>
      <w:r>
        <w:t>Erwägungen</w:t>
      </w:r>
    </w:p>
    <w:p>
      <w:r>
        <w:rPr>
          <w:b/>
        </w:rPr>
        <w:t>E. 1</w:t>
      </w:r>
    </w:p>
    <w:p>
      <w:r>
        <w:t>CC), le recours s'exerce par acte écrit dans le délai de dix jours dès la communication de la décision attaquée (art. 492 al. 1 et 2 CPC). La Chambre des tutelles peut réformer la décision attaquée ou en prononcer la nullité (art. 498 al. 1 CPC). Si la cause n'est pas suffisamment instruite, elle peut la renvoyer à l'autorité tutélaire ou procéder elle-même à l'instruction complémentaire (art. 498 al. 2 CPC). Le recours étant pleinement dévolutif, elle revoit librement la cause en fait et en droit (JT 2003 III 35; JT 2001 III 122). b) Interjeté en temps utile par le pupille, le présent recours est recevable à la forme. Il en va de même de l'écriture du recourant du 29 septembre 2010 et des déterminations de la Tutrice générale, déposées dans les délais impartis (art. 496 al. 2 CPC). En revanche, l'écriture du recourant du 17 octobre 2010 a été déposée hors délai, postérieurement à la prise de décision de la Chambre des tutelles. Elle est irrecevable.</w:t>
      </w:r>
    </w:p>
    <w:p>
      <w:r>
        <w:rPr>
          <w:b/>
        </w:rPr>
        <w:t>E. 2</w:t>
      </w:r>
    </w:p>
    <w:p>
      <w:r>
        <w:t>a) Saisie d'un recours non contentieux, la Chambre des tutelles, qui n'est pas tenue par les moyens et les conclusions des parties, examine d'office si la décision entreprise n'est pas affectée de vices d'ordre formel. Elle peut même retenir des moyens de nullité non articulés par le recourant lorsqu'il s'agit de vices apparents qui affectent la décision attaquée. Elle examine en outre si l'une ou l'autre des critiques formulées est fondée et si elle doit entraîner la réforme de la décision, son annulation complète, ou encore le renvoi de la cause au premier juge pour complément d'instruction et nouveau jugement. Elle ne doit toutefois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op. cit., n. 4 ad art. 492 CPC, p. 763). b) La procédure de mainlevée de l'interdiction est réglée par les cantons (art. 434 al. 1 CC). Le droit fédéral commande toutefois que l'interdit soit entendu (ATF 117 II 379, JT 1994 I 281). La justice de paix est compétente pour statuer sur les demandes de mainlevée d'interdiction volontaire (art. 3 al. 2 ch. 3 LVCC). La procédure de l'art. 91 LVCC est applicable, à l'exclusion de celle prévue par l'art. 397 CPC, qui ne concerne que les interdictions fondées sur les art. 369 et 370 CC (Zurbuchen, op. cit., p. 153). Selon l'art. 91 LVCC, la requête de mainlevée doit être adressée à la justice de paix du domicile du requérant (al. 1 et 3); celle-ci statue après avoir entendu le requérant et, dans la mesure nécessaire, vérifié les faits allégués par lui (al. 2). L'inobservation du droit d'être entendu consacré par l'art. 91 al. 2 LVCC constitue la violation d'une règle essentielle de la procédure et entraîne la nullité de la décision (Zurbuchen, op. cit., p. 156; JT 1954 III 35). En l'espèce, la Justice de paix du district de Lausanne était compétente ratione materiae (art. 3 al. 2 ch. 3 LVCC) et loci (art. 91 LVCC) pour prendre la décision querellée. Elle a procédé à l'audition de O.________ et de R.________, assistante sociale auprès de la Tutrice générale, lors de son audience du 22 juillet 2010. Le droit d'être entendu de O.________ a ainsi été respecté. Il s'ensuit que la décision attaquée est formellement correcte et qu'elle peut être examinée sur le fond.</w:t>
      </w:r>
    </w:p>
    <w:p>
      <w:r>
        <w:rPr>
          <w:b/>
        </w:rPr>
        <w:t>E. 3</w:t>
      </w:r>
    </w:p>
    <w:p>
      <w:r>
        <w:t>Le recourant conteste le maintien de son interdiction civile volontaire. Il fait valoir qu'il est à même de gérer ses affaires personnelles de manière autonome. a) L'interdiction volontaire ne peut être prononcée que si l'intéressé est empêché de gérer convenablement ses affaires par suite de faiblesse sénile, de quelque infirmité ou de son inexpérience (art. 372 CC). Selon la doctrine et la jurisprudence, la notion d'infirmité doit être interprétée de manière extensive: elle comprend les déficiences psychiques et caractérielles, telles que la déchéance physique et sociale, la fainéantise ou le mode de vie désordonné ou dissolu (Schnyder/Murer, Berner Kommentar, n. 63 ad art. 372 CC, pp. 448 et 449); ces troubles psychiques et caractériels peuvent cependant être moins graves que ceux retenus aux art. 369 et 370 CC concernant l'interdiction imposée (ATF 99 II 15, JT 1974 I 58; Schnyder/Murer, op. cit., n. 64 ad art. 372 CC, p. 449). La mainlevée de l'interdiction volontaire ne peut être ordonnée que si la cause de la mise sous tutelle n'existe plus (art. 438 CC). Il ne suffit donc pas que l'interdit forme une requête de mainlevée pour que la suppression de la tutelle doive automatiquement s'opérer (Deschenaux/Steinauer, Personnes physiques et tutelle, 4 e éd., Berne 2001, n. 1034, p. 393; Kaufmann, Berner Kommentar, nos 1 et 4 ad art. 438 CC). En effet, en cas d'interdiction volontaire, la preuve que la cause de celle-ci a disparu doit être rapportée par celui qui a demandé sa mise sous tutelle (Deschenaux/Steinauer, op. cit., n. 1038a, p. 394; ATF 79 II 113, JT 1954 I 5; ATF 59 II 417, JT 1934 I 135; ATF 38 II 429). En l'espèce, il résulte de l'expertise du 17 novembre 2004 des docteurs S.________ et F.________ que le recourant souffre d'une schizophrénie hébéphrénique et d'une utilisation de l'alcool nocive pour la santé. Le trouble psychiatrique, constaté en 1986 déjà, est chronique. Il persiste, même si, pendant certaines périodes, les symptômes sont moins aigus. Selon une lettre des docteurs Z.________ et W.________ du 2 juillet 2010, le recourant, qui fait l'objet d'une privation de liberté à des fins d'assistance depuis 2009, a à nouveau été hospitalisé du 2 avril 2010 au 30 juin 2010 en raison d'une décompensation de sa maladie psychiatrique. En outre, il a mis en échec son projet d'institutionnalisation au Foyer Thonney SA, qui a résilié son contrat d'hébergement par courrier du 25 mars 2010, également en raison d'un grand retard dans le règlement des factures. Dans une correspondance du 8 avril 2010, la Tutrice générale a expliqué que les factures du foyer avaient été adressées au pupille, qui ne les avait pas fait suivre. Le 24 juin 2010, la Tutrice générale a exposé que O.________ avait fugué de Cery, où il était hospitalisé, en février 2010 et qu'à son retour, il allait très mal. Il résulte de ce qui précède que la situation du recourant n'évolue pas et que, à tout le moins en l'état, il n'est pas capable de gérer ses affaires. Tant la cause que la condition de la mesure tutélaire sont ainsi toujours présentes. En outre, même si la précédente expertise date de 2004, elle garde toute sa valeur. En effet, l'existence d'un trouble psychique est avérée au regard des expertises au dossier. Le diagnostic est posé depuis 1986 et il ne changera pas. Le recourant est du reste toujours en traitement et ne conteste pas sa maladie. Il n'y a donc pas lieu de mettre en œuvre une nouvelle expertise. Une telle expertise ne doit du reste pas être mise systématiquement en œuvre à chaque nouvelle requête de mainlevée. Il peut y être renoncé lorsque la requête est manifestement infondée (Deschenaux/Steinauer, op. cit., n. 1038, p. 393). On peut en particulier y renoncer si cette expertise est relativement récente ou, même si elle est plus ancienne, si l'intéressé, qui a la charge du fardeau de la preuve de la disparition de la cause de mise sous tutelle, n'apporte pas des indices probants que les circonstances se sont modifiées depuis la dernière expertise. Or, tel est le cas en l'espèce. b) Le recourant demande de transformer sa tutelle volontaire en curatelle. Il convient d'examiner si le principe de la proportionnalité a été respecté. Selon le principe de la proportionnalité, la mesure tutélaire doit avoir l'efficacité recherchée, tout en sauvegardant au maximum la sphère de liberté de l'intéressé (Deschenaux/Steinauer, op. cit., n. 862; Schnyder/Murer, op. cit., n. 162 ad art. 369 CC; Langenegger, Commentaire bâlois, 3 e éd., nos 29 ss ad art. 369 CC). Le but d'une mesure tutélaire est de protéger le faible contre lui-même et l'exploitation par des tiers. Une mesure est disproportionnée si elle est trop radicale ou trop faible pour atteindre ce but (TF 5C.74/2003 du 3 juillet 2003 c. 4.2, in FamPra.ch 2003, p. 975; Affolter, Commentaire bâlois, 3 e éd., n. 60 ad art. 406 CC, p. 2040 ; Stettler, Droit Civil I, Représentation et protection de l'adulte, 4 e éd., n. 80, pp 42 et 43). La tâche d'assister le pupille sur un plan personnel peut être confiée non seulement à un tuteur mais aussi à un conseil légal (ATF 96 II 369 c. 1d). Toutefois, l'assistance personnelle ne doit pas être le principal objet de la protection par un conseil légal. Celui-ci tend à préserver en premier lieu les intérêts - ou l'existence - économiques de la personne à assister (ATF 108 II 92 c. 4; ATF 103 II 81; TF 5C.92/1999 du 20 mai 1999 c. 4b; TF 5A_187/2007 du 13 août 2007 c. 3.3); il ne saurait, en revanche, garantir une protection suffisante lorsqu'une surveillance et une aide personnelles durables sont nécessaires; seul le tuteur a les moyens de mettre en œuvre une protection étendue (art. 406 CC; ATF 97 II 302; TF 5C.74/2003 du 3 juillet 2003 c. 4.3.1, in FamPra.ch 2003, p. 975; TF 5A_389/2007 du 19 septembre 2007 c. 4.2; TF 5C.17/2005 du 8 avril 2005 c. 5.3). D'éventuelles mesures contraignantes relèvent de la compétence du tuteur (art. 406 al. 2 CC; Stettler, op. cit., n. 305, pp 135 et 136 et la jurisprudence citée). Le conseil légal, qui n'est pas un représentant légal, ne peut en effet ni donner d'instructions ni user de contrainte envers la personne assistée; il ne peut demander un placement dans un établissement ni ordonner un traitement ambulatoire (ATF 96 II 369 c. 1d). En l'espèce, il résulte des éléments cités plus hauts (c. 3a) qu'une mesure moins incisive qu'une tutelle ne peut suffire à atteindre le but de protection nécessité par la situation du recourant. Dès lors, en l'état, il ne saurait être donné suite à la transformation requise par le recourant de la tutelle en une curatelle, même si la Tutrice générale laisse ouverte à terme la porte à un changement de mesure.</w:t>
      </w:r>
    </w:p>
    <w:p>
      <w:r>
        <w:rPr>
          <w:b/>
        </w:rPr>
        <w:t>E. 4</w:t>
      </w:r>
    </w:p>
    <w:p>
      <w:r>
        <w:t>En définitive, le recours doit être rejeté et la décision entreprise confirmée. Le présent arrêt peut être rendu sans frais (art. 236 al. 2 TFJC, Tarif du 4 décembre 1984 des frais judiciaires en matière civile, RSV 270.11.5). Par ces motifs, la Chambre des tutelles du Tribunal cantonal, statuant à huis clos, prononce : I. Le recours est rejeté. II. La décision est confirmée. III. L'arrêt est rendu sans frais. IV. L'arrêt motivé est exécutoire. Le président :              La greffière : Du 14 octobre 2010 Le dispositif de l'arrêt qui précède est communiqué par écrit aux intéressés. La greffière : Du L'arrêt qui précède, dont la rédaction a été approuvée à huis clos, est notifié à : ‑ O.________, ‑ Mme la Tutrice générale, et communiqué à : ‑ Justice de paix des districts de Lausanne et de l'Ouest lausannois,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