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509 vom 5. April 2011</w:t>
      </w:r>
    </w:p>
    <w:p>
      <w:r>
        <w:t>VD Tribunal cantonal, 2011-04-05, FR</w:t>
      </w:r>
    </w:p>
    <w:p>
      <w:r>
        <w:rPr>
          <w:b/>
        </w:rPr>
        <w:t xml:space="preserve">Quelle: </w:t>
      </w:r>
      <w:r>
        <w:t>https://mcp.opencaselaw.ch/entscheid/vd_findinfo_Arr_t___2011___509</w:t>
      </w:r>
    </w:p>
    <w:p>
      <w:r>
        <w:t>FR: VD_FINDINFO Arrêt / 2011 / 509 du 5 avril 2011</w:t>
      </w:r>
    </w:p>
    <w:p>
      <w:r>
        <w:t>IT: VD_FINDINFO Arrêt / 2011 / 509 del 5 aprile 2011</w:t>
      </w:r>
    </w:p>
    <w:p>
      <w:pPr>
        <w:pStyle w:val="Heading2"/>
      </w:pPr>
      <w:r>
        <w:t>Regeste</w:t>
      </w:r>
    </w:p>
    <w:p>
      <w:r>
        <w:t>TUTELLE, ALCOOLISME, MALADIE MENTALE, PRIVATION DE LIBERTÉ À DES FINS D'ASSISTANCE | 369 al. 1 CC, 369 CC, 370 CC, 397a al. 1 CC, 397a CC, 379 CPC, 393 CPC, 398a CPC, 489 CPC</w:t>
      </w:r>
    </w:p>
    <w:p>
      <w:pPr>
        <w:pStyle w:val="Heading2"/>
      </w:pPr>
      <w:r>
        <w:t>Erwägungen</w:t>
      </w:r>
    </w:p>
    <w:p>
      <w:r>
        <w:rPr>
          <w:b/>
        </w:rPr>
        <w:t>E. 1</w:t>
      </w:r>
    </w:p>
    <w:p>
      <w:r>
        <w:t>L’écriture intitulée « appel » est dirigée contre la décision de l'autorité tutélaire prononçant l'interdiction civile à forme des art. 369 et 370 CC de A.F.________ et ordonnant le placement de celle-ci à des fins d'assistance en application des art. 397a CC et 398a CPC-VD (Code de procédure civile vaudois du 14 décembre 1966, RSV 270.11) qui reste applicable (art. 174 CDPJ [Code de droit privé judiciaire vaudois du 12 janvier 2010, RSV 211.02]). Il convient d'examiner successivement le recours contre la privation de liberté à des fins d'assistance, puis l'appel formé contre l'interdiction civile. A. Recours contre la privation de liberté à des fins d’assistance</w:t>
      </w:r>
    </w:p>
    <w:p>
      <w:r>
        <w:rPr>
          <w:b/>
        </w:rPr>
        <w:t>E. 2</w:t>
      </w:r>
    </w:p>
    <w:p>
      <w:r>
        <w:t>L'art. 398d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Interjeté en temps utile par l’intéressée, le recours est recevable, de même que les pièces produites (art. 496 al. 2 CPC-VD). Le recours a été soumis au Ministère public, qui a renoncé à se déterminer.</w:t>
      </w:r>
    </w:p>
    <w:p>
      <w:r>
        <w:rPr>
          <w:b/>
        </w:rPr>
        <w:t>E. 3</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L'art. 397f al. 3 CC prescrit en particulier au juge de première instance, soit à la justice de paix du domicile de l'intéressé (art. 398a al. 1 et 2 CPC-VD et 3 al. 2 ch. 4 LVCC [loi d'introduction dans le Canton de Vaud du Code civil suisse du 30 novembre 1910, RSV 211.01]; Bulletin du Grand Conseil [BGC], séance du 11 novembre 1980,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A.F.________ étant domiciliée à Bussigny-près-Lausanne au jour de l'ouverture de l'enquête en privation de liberté à des fins d’assistance, la Justice de paix du district de l'Ouest lausannois était compétente pour prendre la décision querellée (art. 397b al. 1 CC et 398a al. 1 CPC-VD). Elle a procédé in corpore à l'audition de l'intéressée lors de sa séance du 15 février 2011, de sorte que son droit d’être entendue a été respecté. b) Les art. 397e ch. 5 CC et 398a al. 5 CPC-VD exigent le concours d'experts lorsque le placement est motivé par l'état de santé de l'intéressé (FF 1977 III, p. 33; Katz, Privation de liberté à des fins d'assistance, thèse Lausanne, 1983, pp. 94-95; JT 1987 III 12; CTUT 17 juin 2010/110). Aucune exigence précise n'est formulée quant à la personne de l'expert (FF 1977 III, p. 37; Schnyder, Die fürsorgerische Freiheitsentziehung, Grundzüge der neuen bundesrechtlichen Regelung, in Revue du droit de tutelle [RDT] 1979, pp. 19 ss);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Dans le cas présent, la décision attaquée se fonde notamment sur le rapport d'expertise établi le 29 mars 2010 par la Dresse Marija Silva et le Dr Jules Mathys, respectivement cheffe de clinique et médecin assistant auprès du Centre d'expertises du Département de psychiatrie du CHUV. Les auteurs de ce rapport sont spécialistes en psychiatrie et ne se sont pas déjà prononcés dans la même procédure sur l'état de santé de l'intéressée, de sorte qu’ils remplissent les exigences posées par la jurisprudence pour assumer la fonction d'experts. La décision est donc formellement correcte et peut être examinée sur le fond.</w:t>
      </w:r>
    </w:p>
    <w:p>
      <w:r>
        <w:rPr>
          <w:b/>
        </w:rPr>
        <w:t>E. 4</w:t>
      </w:r>
    </w:p>
    <w:p>
      <w:r>
        <w:t>a) La recourante fait en substance valoir qu'elle vit depuis mai 2010 chez sa mère, qui ne se sentirait pas chargée par sa présence mais s’en dirait au contraire heureuse. Elle considère que le rapport d'expertise du 29 mars 2010, rédigé à une époque où elle résidait au Foyer de la Borde, n'est dès lors plus d'actualité et que la sortie de l'Unité hospitalière d'alcoologie de Tamaris après trois semaines en été 2010 démontre qu'elle n'a pas besoin d'une assistance permanente. b)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1171 ss, pp. 437-438; FF 1977 III, pp. 28-29; JT 2005 III 51 c. 3a).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c. 3). c/aa) En l’espèce, la recourante a effectué de nombreux séjours en hôpitaux psychiatriques ou dans diverses institutions. Après avoir fait le choix d’interrompre toute démarche visant à se soigner, elle a dû être hospitalisée à Prangins en juin 2009. A l’issue de l’audience du 9 juin 2009, la juge de paix a décidé de l'ouverture d’une enquête en interdiction civile et en privation de liberté à des fins d’assistance, renonçant en l’état à prononcer un placement, dans la mesure où la recourante allait volontairement réintégrer le Foyer de la Borde où elle avait résidé précédemment, ce qu’elle a au demeurant fait. Lorsque la Dresse Marija Silva et le Dr Jules Mathys ont réalisé leur expertise, la recourante résidait encore au foyer susmentionné. Les experts ont considéré que l'intéressée présentait un trouble de la personnalité, un syndrome de dépendance à l'alcool et aux benzodiazépines, ainsi que des troubles cognitifs liés probablement à l'abus de ces substances, affections chroniques dont la durée ne pouvait être prévue. Ils ont précisé que l'expertisée pouvait avoir dans le cadre de ses troubles des périodes où elle n'était pas capable d'apprécier la portée de ses actes. Ses troubles cognitifs rendaient nécessaire un encadrement dans la gestion de ses affaires. Celui-ci étant actuellement fourni par le Foyer de la Borde, une évaluation était préconisée au moment où la recourante quitterait cette structure, avec notamment un réexamen neuropsychologique afin d’évaluer la nécessité d’une mise en place d'éventuelles mesures de protection. L’expertisée ne pouvait présentement se passer d’une aide et d’une assistance permanente telle que fournie par le Foyer de la Borde. Ce n'est qu'en vertu de l’adhésion de l’intéressée au projet de soins de ce foyer que les experts ne recommandaient pas un placement, tout en précisant que l'indication d'une telle mesure devait être réévaluée en cas de difficultés de collaboration audit projet. L’expertisée avait en effet besoin de soins et d’aide permanente, au vu de ses antécédents et de son incapacité à maintenir seule une abstinence. Dans sa télécopie du 30 avril 2010, la direction du Foyer de la Borde a signalé à la juge de paix que la recourante souhaitait quitter cet établissement pour le 14 mai 2010, malgré une péjoration de son état de santé. Elle n’était en effet plus collaborante et s’était alcoolisée à deux reprises pendant les trois dernières semaines. Le directeur a exprimé ses vives inquiétudes quant aux comportements de l’intéressée et estimé qu’elle pourrait représenter un danger pour elle et pour ceux qui l’entouraient. Le Dr P.________, alors médecin traitant de A.F.________, a, dans son rapport du 3 août 2010, indiqué qu’après la décision de celle-ci de quitter le Foyer de la Borde en mai 2010, un suivi ambulatoire avait été mis en place, sous la forme d’entretiens mensuels réguliers avec lui et d'entrevues hebdomadaires avec une psychologue. Ils avaient rencontré la patiente à trois reprises. En raison de ses nombreuses rechutes de consommation d’alcool, la recourante avait décidé de faire une post-cure à l’Hôpital de Cery et ils ne l’avaient dès lors plus revue. Dans leur rapport du 26 octobre 2010, les Drs L.________, N.________ et Z.________, respectivement chef de clinique, cheffe de clinique adjointe et médecin assistant auprès du Service d’alcoologie de l’Hôpital de Cery, ont relevé que A.F.________ était hospitalisée de sa propre initiative depuis le 26 juillet 2010 à l’Unité hospitalière d’alcoologie de Tamaris, pour la neuvième fois. Le séjour, initialement prévu pour trois semaines, avait été programmé pour réaliser un sevrage de sa dépendance à l’alcool, avec le projet de maintenir sur le long terme une abstinence totale. Elle se montrait collaborante, n'avait plus consommé d'alcool depuis son admission à Tamaris et les alcootests réalisés lors de chacun de ses retours de sortie s'étaient tous révélés négatifs. Si elle présentait une abstinence de sa dépendance à l’alcool en milieu protégé, il était difficile pour ces médecins de se prononcer sur l'évolution pendant les semaines suivant la sortie de cette unité. L’intéressée restait en effet vulnérable et il conviendrait de s’adresser à son réseau ambulatoire pour pouvoir mieux évaluer sa situation dans un environnement non protégé. Le Dr R.________, nouveau psychiatre de la recourante a, dans son rapport du 26 décembre 2011 [recte: 2010], indiqué que celle-ci avait manqué trois de ses cinq rendez-vous. Les difficultés de compliance au suivi avaient été évoquées avec la patiente lors d'un téléphone le 17 décembre 2010 et, alors qu'ils étaient censés convenir ultérieurement d'une nouvelle rencontre, cela n'avait pas été fait. Un suivi ambulatoire ne lui semblait dans ce contexte pas réaliste et une prise en charge institutionnelle (ambulatoire ou résidentielle, en fonction des éléments de situation qui n’étaient pas en sa possession) lui paraissait plus indiquée. Selon le procès-verbal de l'audience du 15 février 2011, la justice de paix a observé que A.F.________ n'était pas dans son état habituel et qu'elle semblait avoir bu. L'intéressée a alors déclaré boire quelque peu pour se remonter le moral. La Cour a pu alors constater une dégradation très importante de l'état physique de la recourante. bb) Il résulte de ce qui précède que l'évolution de la situation de la recourante n'est pas favorable et que la conclusion des experts, selon laquelle l’intéressée nécessitait une aide et assistance personnelle permanente, conserve toute son actualité. Après son départ du Foyer de la Borde, elle a été réhospitalisée durant plusieurs mois en raison de ses nombreuses rechutes de consommation d'alcool. Malgré ce nouveau séjour effectué à Tamaris en 2010, qui était le neuvième et aurait dû conduire à un sevrage et au maintien sur le long terme d’une abstinence totale, son état physique a continué à se dégrader, ce que les premiers juges ont pu eux-mêmes constater lors de l’audience du 15 février 2011. La recourante banalise sa situation, n'est pas consciente des troubles dont elle souffre et ne collabore pas, ayant manqué trois rendez-vous sur les cinq fixés avec son nouveau psychiatre le Dr R.________. Une prise en charge ambulatoire n'a en conséquence pas pu efficacement être mise en place. Le soutien que sa mère est en mesure de lui apporter est clairement insuffisant, celle-ci niant les problèmes rencontrés par sa fille et déclarant qu'il n'est pas si grave que celle-ci boive « un peu ». Seul un placement est dès lors de nature à apporter à la recourante l'aide dont elle a besoin. Le recours doit en conséquence être rejeté. B. Appel contre l’interdiction civile</w:t>
      </w:r>
    </w:p>
    <w:p>
      <w:r>
        <w:rPr>
          <w:b/>
        </w:rPr>
        <w:t>E. 5</w:t>
      </w:r>
    </w:p>
    <w:p>
      <w:r>
        <w:t>a) Conformément à l'art. 393 al. 1 CPC-VD, qui demeure applicable conformément à l'art. 174 CDPJ,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ème éd., Lausanne 2002, note ad art. 393 CPC-VD, p. 599). b) Interjeté en temps utile par la personne interdite, le présent appel est recevable. Il en va de même du mémoire déposé dans le délai imparti à cet effet et des pièces produites en deuxième instance (art. 393 al. 3 CPC-VD).</w:t>
      </w:r>
    </w:p>
    <w:p>
      <w:r>
        <w:rPr>
          <w:b/>
        </w:rPr>
        <w:t>E. 6</w:t>
      </w:r>
    </w:p>
    <w:p>
      <w:r>
        <w:t>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CPC-VD).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l'appelante était domiciliée à Bussigny-près-Lausanne au moment de l'ouverture de l'enquête en interdiction civile. La Justice de paix du district de l’Ouest lausannois était donc compétente pour décider de l'institution éventuelle d'une tutelle. La juge de paix a procédé à une enquête et a ordonné une expertise médicale. Elle a soumis le rapport - déposé le 29 mars 2010 par les médecins du Centre d'expertises du Département de psychiatrie du CHUV - au Conseil de santé qui, par l'intermédiaire du Médecin cantonal agissant par délégation, a déclaré ne pas avoir d'observation à formuler. La Municipalité de Bussigny-près-Lausanne et le Ministère public ont émis leur préavis respectif les 29 juin 2009 et 30 avril 2010. Au terme de l'enquête, la juge de paix a déféré la cause à la justice de paix, qui, avant de statuer, a entendu A.F.________ lors de sa séance du 15 février 2011. Il s'ensuit que la décision entreprise est formellement correcte et peut être examinée quant au fond.</w:t>
      </w:r>
    </w:p>
    <w:p>
      <w:r>
        <w:rPr>
          <w:b/>
        </w:rPr>
        <w:t>E. 7</w:t>
      </w:r>
    </w:p>
    <w:p>
      <w:r>
        <w:t>L'interdiction de A.F.________ a été prononcée en application des art. 369 et 370 CC. a/aa) A teneur de l’art. 369 CC,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bb) Aux termes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 boissons alcooliques dû à un penchant anormal. La loi ne parle que de l’alcool, mais il faut y assimiler les autres excitants nerveux: morphine, cocaïne, héroïne, etc. (Deschenaux/Steinauer, op. cit., nn. 129-130, p. 41 et les citations). Il convient toutefois de restreindre l'application de l'art. 370 CC au cas où la personne en cause ne peut plus renoncer par ses propres forces à une consommation excessive d'alcool (ATF 78 II 333, JT 1953 I 499). cc) Pour fonder une interdiction sur les art. 369 ou 370 CC, il ne suffit donc pas que la personne concernée soit dans un état mental anormal ou dépendante de produits stupéfiants; il faut encore que cet état (cause de l'interdiction) engendre un besoin spécial de protection (condition d'interdiction), à savoir l'incapacité durable de s'occuper convenablement de ses affaires (art. 369 CC), le risque pour l'intéressé ou sa famille de tomber dans le besoin (art. 370 CC), le besoin de soins et de secours permanents ou la menace pour la sécurité d'autrui (art. 369 et 370 CC ; Deschenaux/Steinauer, op. cit., nn. 116 ss, pp. 36 ss). Les conditions du besoin spécial de protection susmentionnées sont alternatives (TF 5C.262/2002 du 6 mars 2003, in La Pratique du droit de la famille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d’abord les affaires d'ordre personnel (TF 5C.262/2002 précité). dd)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TF 5C.74/2003 du 3 juillet 2003, in FamPra.ch 2003, p. 975; TF 5A_568/2007 du 4 février 2008). b) En l'espèce, selon le diagnostic posé dans l’expertise du 29 mars 2010, l’appelante présente un trouble de la personnalité émotionnellement labile, type borderline (F60.31), une dépendance à l’alcool, actuellement abstinente en milieu protégé (F101.21), un syndrome de dépendance aux benzodiazépines, utilisation continue (F13.25) et des troubles cognitifs d’origine multifactorielle. La cause de l’interdiction des art. 369 et 370 CC est ainsi clairement réalisée. En ce qui concerne la condition, il résulte de l'expertise que l'appelante peut, dans le cadre de ses troubles, présenter des périodes où elle n'est pas capable d'apprécier la portée de ses actes. Les troubles cognitifs dont elle souffre rendent nécessaire l'encadrement, alors fourni par le Foyer de la Borde, dans la gestion de ses affaires. Les experts préconisaient une évaluation au moment du départ de l'appelante de ce foyer, afin d’examiner la nécessité de mise en place d'éventuelles mesures de protection. S'il l'appelante n’a certes fait l'objet d'aucun acte de défaut de biens et qu'elle peut gérer son argent de poche avec facilité, il n'en demeure pas moins qu'elle a besoin, en raison de ses troubles cognitifs, d'un encadrement et d'une assistance - que le Foyer de la Borde ne lui apporte plus depuis qu'elle a quitté cette institution - pour prendre des décisions conformes à ses intérêts. Elle nécessite également une assistance personnelle étendue. Une mesure moins incisive, telle qu’une curatelle, ne saurait être envisagée, au vu du défaut de collaboration de l'intéressée, qui a notamment déclaré à l’audience du 15 février 2011 qu’une mesure tutélaire ne pourrait pas l’aider et qu’elle irait mieux si on la laissait tranquille. Au surplus, le fait que le frère de l'appelante ait demandé à cette dernière de régler ses « petites affaires » n'apparaît en l’occurrence pas décisif. Cette requête n'a en effet été faite que si cela était « gérable » pour elle et en précisant que « (…) si tu n’as pas l’énergie pour t’occuper de tout ça, je pense que quelqu’un d’autre le fera, mais je sais pas à ki demander d’autre (…) ». Au vu de ce qui précède, l'interdiction civile de l'appelante est justifiée au regard des art. 369 et 370 CC et conforme aux principes de subsidiarité et de proportionnalité.</w:t>
      </w:r>
    </w:p>
    <w:p>
      <w:r>
        <w:rPr>
          <w:b/>
        </w:rPr>
        <w:t>E. 8</w:t>
      </w:r>
    </w:p>
    <w:p>
      <w:r>
        <w:t>En conclusion, l’appel et le recours doivent être rejetés et la décision entreprise confirmée. Le présent arrêt peut être rendu sans frais, conformément à l'art. 236 al. 2 aTFJC (tarif du 4 décembre 1984 des frais judiciaires en matière civile, RSV 270.11.5) qui continue à s'appliquer pour toutes les procédures visées à l'art. 174 CDJP (art. 100 TFJC [tarif du 28 septembre 2010 des frais judiciaires civils, RSV 270.11.5]). Par ces motifs, la Chambre des tutelles du Tribunal cantonal, statuant à huis clos, prononce : I. L'appel et le recours sont rejetés. II. La décision est confirmée. III. L'arrêt est rendu sans frais ni dépens. Le président :              La greffière : Du 5 avril 2011 Le dispositif de l'arrêt qui précède est communiqué par écrit aux intéressés. La greffière : Du 4 mai 2011 L'arrêt qui précède, dont la rédaction a été approuvée à huis clos, est notifié à : ‑ Me Paul Marville (pour A.F.________), ‑ Ministère public,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