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450 vom 1. März 2011</w:t>
      </w:r>
    </w:p>
    <w:p>
      <w:r>
        <w:t>VD Tribunal cantonal, 2011-03-01, FR</w:t>
      </w:r>
    </w:p>
    <w:p>
      <w:r>
        <w:rPr>
          <w:b/>
        </w:rPr>
        <w:t xml:space="preserve">Quelle: </w:t>
      </w:r>
      <w:r>
        <w:t>https://mcp.opencaselaw.ch/entscheid/vd_findinfo_Arr_t___2011___450</w:t>
      </w:r>
    </w:p>
    <w:p>
      <w:r>
        <w:t>FR: VD_FINDINFO Arrêt / 2011 / 450 du 1 mars 2011</w:t>
      </w:r>
    </w:p>
    <w:p>
      <w:r>
        <w:t>IT: VD_FINDINFO Arrêt / 2011 / 450 del 1 marzo 2011</w:t>
      </w:r>
    </w:p>
    <w:p>
      <w:pPr>
        <w:pStyle w:val="Heading2"/>
      </w:pPr>
      <w:r>
        <w:t>Regeste</w:t>
      </w:r>
    </w:p>
    <w:p>
      <w:r>
        <w:t>PARTAGE{SENS GÉNÉRAL}, PRESTATION DE PRÉVOYANCE, DROIT INTERNATIONAL PRIVÉ, JUGEMENT DE DIVORCE | 122 al. 1 CC, 63 LDIP, 22 al. 1 LFLP, 12 OPP2</w:t>
      </w:r>
    </w:p>
    <w:p>
      <w:pPr>
        <w:pStyle w:val="Heading2"/>
      </w:pPr>
      <w:r>
        <w:t>Erwägungen</w:t>
      </w:r>
    </w:p>
    <w:p>
      <w:r>
        <w:rPr>
          <w:b/>
        </w:rPr>
        <w:t>E. 1</w:t>
      </w:r>
    </w:p>
    <w:p>
      <w:r>
        <w:t>a) Il convient d'entrée d’examiner la question de la compétence de la Cour de céans pour connaître de la présente cause, les ex-conjoints X.________ et Z.________ étant tous deux de nationalité française. En matière de relations internationales, l’art. 63 al. 1 LDIP (loi fédérale du 18 décembre 1987 sur le droit international privé; RS 291) prévoit que les tribunaux suisses compétents pour connaître d'une action en divorce ou en séparation de corps le sont également pour se prononcer sur les effets accessoires. Le principe de l'unité du jugement de divorce s'applique donc également dans les relations internationales pour ce qui a trait au partage de prévoyance (Jacques-André Schneider/Thomas Geiser/Thomas Gächter, LPP et LFLP, Berne 2010, n. 53 ad art. 22 LFLP, p. 1588 et les références citées). b) Dans le canton de Vaud, la Cour des assurances sociales du Tribunal cantonal est compétente pour statuer sur les contestations et prétentions en partage de la prestation de sortie en cas de divorce (art. 93 al. 1 let. d et art. 110 ss LPA-VD [loi cantonale vaudoise du 28 octobre 2008 sur la procédure administrative; RSV 173.36]). En l'absence de contestation des parties au sujet du principe et de la quotité du partage, la compétence de connaître du présent litige appartient au juge instructeur statuant comme juge unique (art. 111 al. 1 LPA-VD).</w:t>
      </w:r>
    </w:p>
    <w:p>
      <w:r>
        <w:rPr>
          <w:b/>
        </w:rPr>
        <w:t>E. 2</w:t>
      </w:r>
    </w:p>
    <w:p>
      <w:r>
        <w:t>a) Selon l'art. 63 al. 2 1 ère phrase LDIP, le droit applicable au divorce ou à la séparation de corps régit les effets accessoires du divorce ou de la séparation de corps. En revanche, le montant des expectatives et la question de savoir comment le partage va être exécuté sont réglés conformément au régime juridique applicable aux institutions de prévoyance individuelle (Schneider/Geiser/Gächter, op. cit., n. 59 ad art. 22 LFLP, p. 1591). Selon la jurisprudence, il convient toutefois de tenir compte de la clause d'exception prévue à l'art. 15 LDIP, qui habilite le juge à ne pas appliquer le droit auquel renvoie la règle de conflit de lois lorsque la cause n'a qu'un lien très lâche avec cette législation et qu'elle se trouve dans une relation beaucoup plus étroite avec un autre droit (ATF 134 III 661 consid. 3.1; 131 III 289 consid. 2.4; voir aussi ATF 136 V 57 consid. 5.2). Dans le cas présent, on retiendra notamment que le demandeur et la défenderesse se sont mariés en Suisse, y ont vécu, puis ont divorcé en Suisse en application du droit suisse. Sous l'angle de l'art. 15 LDIP, on ne saurait dire au vu des circonstances que la cause n'a qu'un lien très lâche avec le droit suisse, bien que les parties soient de nationalité française. Le droit suisse est donc applicable. b) Selon l'art. 22 al. 1 LFLP (loi fédérale du 17 décembre 1993 sur le libre passage dans la prévoyance professionnelle vieillesse, survivants et invalidité; RS 831.42), en cas de divorce, les prestations de sortie acquises durant le mariage sont, notamment, partagées conformément à l'art. 122 CC (code civil suisse du 10 décembre 1907; RS 210).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(ATF 132 V 236 consid. 2.3 et les références citées; TF B 26/06 du 1 er mars 2007 consid. 2.2)</w:t>
      </w:r>
    </w:p>
    <w:p>
      <w:r>
        <w:rPr>
          <w:b/>
        </w:rPr>
        <w:t>E. 3</w:t>
      </w:r>
    </w:p>
    <w:p>
      <w:r>
        <w:t>a) En l'espèce, il résulte des indications données par la Caisse de pension de l'Etat de Vaud, institution de prévoyance de l’ex-épouse, que le montant de l’avoir de prévoyance accumulé par cette dernière durant le mariage, soit du 27 juillet 2001 au 16 novembre 2010, s'élève à 104'135 fr., et que le partage de la prestation de sortie est réalisable. Ce montant est admis par les parties, de même que le principe du partage. Il s'ensuit que c'est un montant de 52'067 fr. 50 en capital, soit la moitié de 104'135 fr., qui doit être transféré en faveur de l'ex-époux. Ce montant de 52'067 fr. 50 doit être versé directement au demandeur, et non pas sur un compte de prévoyance, dès lors que, né en 1936, il a déjà atteint l'âge donnant droit à des prestations de vieillesse (art. 13 al. 1 let. a LPP [loi fédérale du 25 juin 1982 sur la prévoyance professionnelle vieillesse, survivants et invalidité; RS 831.40]). b)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 er janvier 2009. Le Conseil fédéral a décidé de maintenir le taux d'intérêt minimal de la prévoyance professionnelle à 2% pour 2010 (décision du 14 octobre 2009) et pour 2011 (décision du 1 er octobre 2010). En l'espèce, le jour déterminant pour le calcul de l'intérêt compensatoire est le 16 novembre 2010, jour d'entrée en force du jugement de divorce. Le taux de l'intérêt compensatoire payable sur le montant de 52'067 fr. 50 que doit verser la Caisse de pension de l'Etat de Vaud au demandeur est par conséquent de 2% l'an dès le 16 novembre 2010 jusqu'au moment du transfert ou de la demeure, sous réserve d'un taux supérieur prévu par le règlement de l'institution de prévoyance. c) Selon l'art. 7 OLP, le taux de l'intérêt moratoire correspond au taux d'intérêt minimal fixé dans la LPP, augmenté de 1 pour-cent. En cas de retard de versement, un intérêt moratoire sera dû dès le 31 ème jour suivant l'entrée en force du présent jugement (ATF 129 V 251 consid. 5; TF 9C_98/2009 du 30 juin 2009 consid. 5.3.1; TF B 108/06 du 29 mai 2007 consid. 5). Ainsi, en cas de retard de versement, la Caisse de pension de l'Etat de Vaud sera débitrice d'un intérêt moratoire d'au moins 3% l'an dès le 31 ème jour suivant l'entrée en force du présent jugement, en sus du montant à transférer (52'067 fr. 50) augmenté de l'intérêt compensatoire, sous réserve d'un taux supérieur prévu par le règlement de l'institution de prévoyance.</w:t>
      </w:r>
    </w:p>
    <w:p>
      <w:r>
        <w:rPr>
          <w:b/>
        </w:rPr>
        <w:t>E. 4</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TF B 57/05 du 3 juillet 2006 consid. 3). Il n'y a pas lieu, en l'espèce, de percevoir des frais de justice ni d'allouer des dépens. Par ces motifs, le juge unique prononce : I. Ordre est donné à la Caisse de pension de l'Etat de Vaud de prélever sur le compte de Z.________ la somme de 52'067 fr. 50 (cinquante-deux mille soixante-sept francs et cinquante centimes) en capital, plus un intérêt compensatoire de 2% (deux pour cents) l'an, respectivement du taux supérieur prévu par ses dispositions internes, du 16 novembre 2010 jusqu'au jour du transfert, et de verser ce montant en mains de X.________. II. Il n'est pas perçu de frais de justice ni alloué de dépens. Le juge unique :               Le greffier : Du Le jugement qui précède est notifié à : ‑ Me Denis Bridel, avocat à Lausanne (pour X.________) ‑ Me Philippe Oguey, avocat à Lausanne (pour Z.________) - Caisse de pension de l'Etat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