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426 vom 28. Februar 2011</w:t>
      </w:r>
    </w:p>
    <w:p>
      <w:r>
        <w:t>VD Tribunal cantonal, 2011-02-28, FR</w:t>
      </w:r>
    </w:p>
    <w:p>
      <w:r>
        <w:rPr>
          <w:b/>
        </w:rPr>
        <w:t xml:space="preserve">Quelle: </w:t>
      </w:r>
      <w:r>
        <w:t>https://mcp.opencaselaw.ch/entscheid/vd_findinfo_Arr_t___2011___426</w:t>
      </w:r>
    </w:p>
    <w:p>
      <w:r>
        <w:t>FR: VD_FINDINFO Arrêt / 2011 / 426 du 28 février 2011</w:t>
      </w:r>
    </w:p>
    <w:p>
      <w:r>
        <w:t>IT: VD_FINDINFO Arrêt / 2011 / 426 del 28 febbraio 2011</w:t>
      </w:r>
    </w:p>
    <w:p>
      <w:pPr>
        <w:pStyle w:val="Heading2"/>
      </w:pPr>
      <w:r>
        <w:t>Regeste</w:t>
      </w:r>
    </w:p>
    <w:p>
      <w:r>
        <w:t>MOTIF DE RÉVISION, RÉVISION{DÉCISION}, REFUS D'ENTRER EN MATIÈRE SUR CERTAINS GRIEFS, NOUVELLE DEMANDE, AGGRAVATION DE L'ATTEINTE À LA SANTÉ | 87 al. 3 RAI, 87 al. 4 RAI</w:t>
      </w:r>
    </w:p>
    <w:p>
      <w:pPr>
        <w:pStyle w:val="Heading2"/>
      </w:pPr>
      <w:r>
        <w:t>Erwägungen</w:t>
      </w:r>
    </w:p>
    <w:p>
      <w:r>
        <w:rPr>
          <w:b/>
        </w:rPr>
        <w:t>E. 26</w:t>
      </w:r>
    </w:p>
    <w:p>
      <w:r>
        <w:t>novembre 2009, dont la teneur est notamment la suivante : "Diagnostic : - Syndrome thoraco-lombo-vertébral chronique sur status après spondylodèse L3 à S1 en 1990, AMO et complément de greffe en 1991 sur status après spondylolisthésis L5 post traumatique et osthéosynthèse en 1988. (…) Le patient indique une évolution assez favorable dans la période des 10 ans post-opératoires. Persistance d'un hypesthésie dans le membre inférieur droit. Depuis deux ans, accentuation de douleurs thoraco-lombaires, notamment nocturnes, ainsi qu'en position immobilisée prolongée. Se sent "cassé en deux" lors des positions assises ou debout "prolongées". Redressement de flexion ventrale difficile avec irradiation douloureuse dans le membre inférieur droit. Valsava négatif. Douleurs cervicales en en progression, apparemment notamment après un accident de circulation en 2005. (…) Du point de vue professionnel, il me semble que l'AI devrait présenter une attitude plus conciliatrice et se donner la peine de réévaluer la situation avec le patient. Une activité permettant des changements de positions réguliers, en position ergonomique adéquate, serait le choix idéal pour un patient globalement tout de même encore motivé à améliorer sa situation."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d'AI (cf. art. 57a LAI) - sont sujettes à recours auprès du tribunal des assurances compétent (art. 69 al. 1 LAI en dérogation à l'art.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Au vu de la valeur litigieuse, la présente cause relève de la compétence d'une cour composée de trois magistrats (art. 94 al. 1 let. a LPA-VD). Interjeté dans le délai légal (art. 60 al.1 LPGA), selon les formes prévues par la loi (notamment art. 61 let. b LPGA), le recours est recevable et il y a lieu d’entrer en matière. 2. La question litigieuse est celle de savoir si le recourant rend vraisemblable, au moment du dépôt de sa deuxième demande, que son état de santé s’est modifié de manière à influencer son invalidité.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L'invalidité peut résulter d’une infirmité congénitale, d’une maladie ou d’un accident (art. 4 al. 1 LAI).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117 V 198 consid. 4b et les références ;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du 22 octobre 2009 consid 1.2). c) Le Tribunal fédéral des assurances a jugé que le principe inquisitoire, selon lequel les faits pertinents de la cause doivent être constatés d'office par l'autorité (cf. ATF 125 V 195 consid. 2 ; ATF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 TF  I 52/03 du 16 janvier 2004 consid. 2.2 ; TF H 290/98 du 13 juillet 2000 consid. 4c). Ainsi, lorsqu'un assuré introduit une nouvelle demande de prestations ou une procédure de révision sans rendre plausible que son invalidité ou son impotence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9C_286/2009 du 28 mai 2009 consid. 2.2.3 ; TF 9C_312/2009 du 18 septembre 2009 consid. 2.4 ; TFA I 52/03 du 16 janvier 2004 consid. 2.2 ; TFA I 67/02 du 2 décembre 2002 consid. 4). d) En l'espèce, le recourant a produit des moyens de preuve, à savoir une lettre de son médecin traitant, accompagnée de différents avis médicaux. Dans son courrier à l'OAI, le Dr F.________ indique que les douleurs de l'assuré ont augmenté, sans faire état d'éléments diagnostiques supplémentaires antérieurs à la dernière décision de l'OAI, hormis une épicondylite droite. Dans son rapport médical du 2 septembre 2008, le Dr R.________ retient que les douleurs dorso-lombaires de l'assuré se sont aggravées dès 2006 ; il fait également état de l'apparition d'une épicondylite la même année. Il conclut que sur le plan psychiatrique, l'incapacité de travail du recourant a toujours été inférieure à 20%. Dans son rapport médical du 10 décembre 2007, le Dr H.________ retient une péjoration de la symptomatologie douloureuse s'inscrivant dans une période de surcharge sur le plan professionnel avec épicondylite. Dans leur rapport médical du 5 novembre 2007, les Dr Z.________ et D.________ indiquent que le recourant avait pris contact avec eux suite à des douleurs persistant depuis 2 ans environ, sans faire état d'éléments diagnostiques supplémentaires. Compte tenu de la jurisprudence exposée ci-dessus, il n'y a pas lieu de prendre en compte le certificat médical du Dr Q.________, celui-ci n'étant pas connu de l'office intimé au moment où il a statué. Les médecins consultés par le recourant ne précisent ni ne motivent si et, le cas échéant, dans quelle mesure ces diagnostics ont une répercussion négative sur la capacité de travail du recourant dans l'activité d'agent technico-commercial, activité ayant été jugée adaptée à l'état de santé du recourant en 2000. Contrairement à ce que soutient le recourant, l'OAI n'était pas tenu de requérir d'autres éléments de preuve. Dans ces circonstances, il convient de retenir que l'état de santé du recourant ne s'est pas aggravé dans une mesure nécessaire pour satisfaire les conditions d'une révision au sens de la LAI, le recourant n'ayant pas rendu vraisemblable que l'activité dans laquelle il avait été reclassé n'était plus pleinement exigible. En outre, l'OAI a agi conformément à la jurisprudence en impartissant au recourant un délai raisonnable pour déposer ses moyens de preuve et en l'avertissant qu'il n'entrerait pas en matière sur la demande du recourant pour le cas où il ne se plierait pas à ses injonctions. Or le recourant n'a pas produit de moyens de preuve suffisants, ni dans le délai de 30 jours imparti par courrier du 10 juillet 2008, ni dans le nouveau délai de 30 jours qui lui a été imparti dans le projet de décision du 6 octobre 2008 pour faire part de ses objections. Dès lors, l'OAI était fondé à prononcer une décision de non-entrée en matière. 3. a) Il résulte de ce qui précède que le recours, manifestement mal fondé, doit être rejeté sans autre mesure d'instruction, selon la procédure de l'art. 82 LPA-VD (applicable par analogie au recours au Tribunal cantonal en vertu de l'art. 99 LPA-VD),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