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372 vom 25. März 2011</w:t>
      </w:r>
    </w:p>
    <w:p>
      <w:r>
        <w:t>VD Tribunal cantonal, 2011-03-25, FR</w:t>
      </w:r>
    </w:p>
    <w:p>
      <w:r>
        <w:rPr>
          <w:b/>
        </w:rPr>
        <w:t xml:space="preserve">Quelle: </w:t>
      </w:r>
      <w:r>
        <w:t>https://mcp.opencaselaw.ch/entscheid/vd_findinfo_Arr_t___2011___372</w:t>
      </w:r>
    </w:p>
    <w:p>
      <w:r>
        <w:t>FR: VD_FINDINFO Arrêt / 2011 / 372 du 25 mars 2011</w:t>
      </w:r>
    </w:p>
    <w:p>
      <w:r>
        <w:t>IT: VD_FINDINFO Arrêt / 2011 / 372 del 25 marzo 2011</w:t>
      </w:r>
    </w:p>
    <w:p>
      <w:pPr>
        <w:pStyle w:val="Heading2"/>
      </w:pPr>
      <w:r>
        <w:t>Regeste</w:t>
      </w:r>
    </w:p>
    <w:p>
      <w:r>
        <w:t>REJET DE LA DEMANDE, PROVISOIRE, VISITE, RELATIONS PERSONNELLES | 273 CC, 420 al. 2 CC, 489 CPC, 174 al. 2 CDPJ</w:t>
      </w:r>
    </w:p>
    <w:p>
      <w:pPr>
        <w:pStyle w:val="Heading2"/>
      </w:pPr>
      <w:r>
        <w:t>Erwägungen</w:t>
      </w:r>
    </w:p>
    <w:p>
      <w:r>
        <w:rPr>
          <w:b/>
        </w:rPr>
        <w:t>E. 1</w:t>
      </w:r>
    </w:p>
    <w:p>
      <w:r>
        <w:t>Le recours est dirigé contre une ordonnance de mesures provision­nelles du juge de paix refusant de suspendre l'exercice du droit de visite d'un père sur sa fille mineure dont la garde appartient à la mère (art. 273 ss CC, Code civil suisse du 10 décembre 1907, RS 210). a) Selon la jurisprudence du Tribunal fédéral (ATF 107 II 499, JT 1983 I 335 c. 2b), critiquée par la doctrine (Hegnauer, Berner Kommentar, n. 94 ad art. 275 CC, p. 164; Poudret/Sandoz-Monod, Commentaire de la loi fédérale d'organisation judiciaire, vol. II, 1990, n. 1.2.24 ad Titre II, pp. 12-13; ATF 118 Ia 473 c. 2, JT 1995 I 523 c. 2), la question des relations personnelles avec un enfant mineur constitue une matière non contentieuse. Contre les décisions en matière de relations personnelles, le recours non contentieux de l'art. 420 al. 2 CC est ouvert à la Chambre des tutelles (Schwenzer, Basler Kommentar, 3 ème éd., 2006, n. 6 ad art. 275 CC, p. 1477; art. 76 LOJV, Loi d'organisation judiciaire du 12 décembre 1979, RSV 173.01), qu'il s'agisse de mesures d'urgence (Poudret/Haldy/Tappy, Procédure civile vaudoise,</w:t>
      </w:r>
    </w:p>
    <w:p>
      <w:r>
        <w:rPr>
          <w:b/>
        </w:rPr>
        <w:t>E. 3</w:t>
      </w:r>
    </w:p>
    <w:p>
      <w:r>
        <w:t>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op. cit.,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JT1998 I 354 c. 3c p. 360). Le maintien et le développement de ce lien étant évidemment bénéfiques pour l'en­fant, les relations personnelles doivent donc être privilégiées, sauf si le bien de l'enfant est  mis en danger. Le droit aux relations personnelles n'est ainsi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Cette mesure constitue néanmoins une "ultima ratio" et ne doit être ordonnée que si le danger pour le bien de l'enfant ne peut être écarté par d'autres mesures appropriées. Le préjudice causé à l'enfant peut être limité par l'établissement d'un droit de visite surveillé, qui s'exerce en présence d'un tiers. Une telle surveillance ne peut toutefois être instaurée que lorsqu'il existe des indices concrets de mise en danger du bien de l'enfant (Hegnauer, op. cit., n. 19.20, p. 116).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du droit de visite, si son développement physique, moral ou psychi­que est menacé par la présence même limitée du parent concerné. Il importe en outre que cette menace ne puisse être écartée par d'autres mesures appropriées (TF 5A_448/2008 du 2 octobre 2008; ATF 131 III 209, JT 2005 I 2002; ATF 118 II 21 c. 3c, JT 1995 I 548). La violation par les parents de leurs obligations et le fait de ne pas se soucier de l'enfant ne justifient un tel refus ou retrait que si ces comporte­ments portent atteinte au bien de l'enfant (ATF 131 III 209, JT 2005 I 2002; ATF 118 II 21 c. 3c, JT 1995 I 548). On peut admettre qu'un parent ne s'est pas soucié sérieusement de son enfant au sens de l'art. 274 al. 2 CC lorsqu'il ne prend aucune part à son bien-être, s'en remet en permanence à d'autres pour les soins dus à l'enfant et n'entreprend rien pour établir ou entretenir une relation vivante avec lui; peu importe de savoir si les efforts auraient été couronnés de succès et si le compor­tement du parent habilité à donner son consentement est coupable ou non (ATF 118 II 21 c. 3d, JT 1995 I 548; CREC II 10 juin 2003/617). Les conflits entre les parents ne constituent pas un motif de restreindre le droit de visite. Une telle limitation n'est justifiée que s'il y a lieu d'admettre, au regard des circonstances, que l'octroi d'un droit de visite usuel compromet le bien de l'enfant (ATF 131 III 209 c. 5, JT 2005 I 2002; CREC II 23 mars 2009/50). La décision de supprimer ou de suspendre pour une période relative­ment longue le droit de visite constitue une "ultima ratio" qui ne doit intervenir que si la raison qui fait craindre un danger pour le bien de l'enfant est telle qu'elle ne peut être exclue ni par l'établissement d'un droit de visite surveillé, ni par d'autres mesures (ATF 122 III 404, JT 1998 I 46; Hegnauer, op. cit., n. 19.20, p. 116; TF 5P.369/2004 du 24 novembre 2004, in FamPra 2005 n o 64 p. 393 et réf. citées). La notion de bien de l'enfant a été élevée en droit suisse au niveau d'un droit constitutionnel. Le principe de la priorité du bien de l'enfant doit être pris dans un sens global et recouvre entre autres les possibilités de développement au niveau moral, psychique, physique et social en fonction de l'âge de l'enfant; il faut donc re­cher­cher la meilleure solution possible pour l'enfant compte tenu de toutes les circonstances du cas d'espèce (ATF 129 III 250, JT 2003 I 187 c. 3.4.2 et juris­prudence citée). La mise en danger concrète du bien de l'enfant est nécessaire non seulement pour justifier un refus ou un retrait du droit aux relations personnelles, mais aussi pour imposer au titulaire l'obligation de se soumettre à des modalités particulières telles qu'un droit de visite surveillé (Meier/Stettler, Droit de la filiation, 4 ème éd., Bâle 2009, n o 714). Si les répercussions négatives d'un droit de visite peuvent être limitées de façon suffisante par la présence d'une tierce personne, le droit de visite ne peut être supprimé (TF 5A_92/2009 du 22 avril 2009 in FamPra 2009 786). Lorsque les relations restreintes avec le parent n'ayant pas le droit de garde mettent déjà le bien-être de l'enfant en danger, il convient d'envisager la possibilité de refuser ou de retirer un droit de visite. En cas de risques sérieux pour la santé de l'enfant, tout contact personnel doit être proscrit (TF 5P.131/2006 du 25 août 2006 in FamPra 2007 167). b) En l'espèce, à l'appui de sa requête de mesures provisionnelles, la recourante invoquait le fait que sa fille avait été témoin d'un acte de violence de B.J.________ à l'égard de sa propre mère en sa présence durant l'exercice du droit de visite. L'existence de cet acte de violence est toutefois loin d'être établi, les expli­cations du père étant plausibles et, au surplus, corroborées par le courrier adressé le 30 décembre 2010 par la grand-mère paternelle à la justice de paix. Quand bien même on pourrait s'interroger sur la valeur probante du témoignage écrit de la grand-mère, il n'en demeure pas moins qu'une attaque au moyen d'un bâton "muni à son bout d'un crochet" n'est guère réaliste. L'intimé, qui a des problèmes orthopédiques, explique qu'il a frappé le sol avec sa canne. On ne peut exclure qu'il y ait eu des éclats de voix et qu'C.J.________ ait eu peur, mais un tel épisode unique est très nettement insuffisant pour justifier une mesure aussi grave qu'une suspension du droit de visite alors qu'aucune enquête au fond n'a encore été effectuée. L'ordonnance de non-lieu relatif à la dispute survenue entre les parents en 2004 prévoit d'ailleurs la mise à la charge d'A.J.________ une partie des frais d'enquête en raison du caractère manifes­tement abusif du comportement consistant à grossir une affaire en ajoutant des griefs inventés aux reproches réels. Enfin, le seul fait que le droit de visite se soit exercé sans difficulté pendant une dizaine de jours au mois de février 2011, ce qui n'a pas été contesté par la recourante, suffit à exclure une suspension provisoire du droit de visite. Dans ces conditions, la cour de céans considère que les conditions d'une suspension provisoire du droit de visite du père ne sont pas réalisées et qu'une telle suspen­sion irait à l'encontre des intérêts de l'enfant qui se trouverait privé sans motif d'une relation filiale nécessaire à son épanouissement. La décision en­tre­­prise, bien fondée, doit ainsi être confir­mée. Au demeurant, la recourante n'apportant la preuve d'aucun élément qui commanderait, pour le bien de l'enfant, de limiter le droit de visite de l'intimé à un droit de visite surveillé, il n'apparaît pas nécessaire de limiter les relations person­nelles entre C.J.________ et son père à des rencontres au Point Rencontre.</w:t>
      </w:r>
    </w:p>
    <w:p>
      <w:r>
        <w:rPr>
          <w:b/>
        </w:rPr>
        <w:t>E. 4</w:t>
      </w:r>
    </w:p>
    <w:p>
      <w:r>
        <w:t>En définitive, le recours interjeté par A.J.________, mal fondé, doit être rejeté et la décision entreprise confirmée. Le présent arrêt peut être rendu sans frais conformément à l'art. 236 al. 1 aTFJC (Tarif du 4 décembre 1984 des frais judiciaires en matière civile, RSV 270.11.5) qui continue à s'appliquer pour toutes les procédures visées par l'art. 174 CDPJ (art. 100 TFJC, Tarif du 28 septembre 2010 des frais judiciaires en matière civile). Obtenant gain de cause, l'intimé, qui a procédé par l'intermédiaire d'un mandataire professionnel, a droit à des dépens de deuxième instance qu'il convient d'arrêter à 400 fr. et de mettre à la charge de la recourante (art. 91 et 92 CPC-VD, applicables par renvoi de l'article 488 let. f CPC-VD). Par ces motifs, la Chambre des tutelles du Tribunal cantonal, statuant à huis clos, prononce : I. Le recours est rejeté. II. L'ordonnance est confirmée. III. L'arrêt est rendu sans frais. IV. La recourante A.J.________ doit verser à l'intimé B.J.________ la somme de 400 fr. (quatre cents francs) à titre de dépens de deuxième instance. V. L'arrêt est exécutoire. Le président :              La greffière : Du L'arrêt qui précède, dont la rédaction a été approuvée à huis clos, est notifié à : ‑ Me Michèle Meylan (pour A.J.________), ‑ Me Romano Buob (pour B.J.________), et communiqué à : ‑ Juge de paix du district de la Riviera-Pays-d'Enhaut,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