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355 vom 4. April 2011</w:t>
      </w:r>
    </w:p>
    <w:p>
      <w:r>
        <w:t>VD Tribunal cantonal, 2011-04-04, FR</w:t>
      </w:r>
    </w:p>
    <w:p>
      <w:r>
        <w:rPr>
          <w:b/>
        </w:rPr>
        <w:t xml:space="preserve">Quelle: </w:t>
      </w:r>
      <w:r>
        <w:t>https://mcp.opencaselaw.ch/entscheid/vd_findinfo_Arr_t___2011___355</w:t>
      </w:r>
    </w:p>
    <w:p>
      <w:r>
        <w:t>FR: VD_FINDINFO Arrêt / 2011 / 355 du 4 avril 2011</w:t>
      </w:r>
    </w:p>
    <w:p>
      <w:r>
        <w:t>IT: VD_FINDINFO Arrêt / 2011 / 355 del 4 aprile 2011</w:t>
      </w:r>
    </w:p>
    <w:p>
      <w:pPr>
        <w:pStyle w:val="Heading2"/>
      </w:pPr>
      <w:r>
        <w:t>Regeste</w:t>
      </w:r>
    </w:p>
    <w:p>
      <w:r>
        <w:t>RELATIONS PERSONNELLES, FRAIS JUDICIAIRES, CURATELLE ÉDUCATIVE, SURVEILLANCE{EN GÉNÉRAL}, VISITE | 273 CC, 276 CC, 307 CC, 420 al. 2 CC, 489 CPC, 174 al. 2 CDPJ</w:t>
      </w:r>
    </w:p>
    <w:p>
      <w:pPr>
        <w:pStyle w:val="Heading2"/>
      </w:pPr>
      <w:r>
        <w:t>Erwägungen</w:t>
      </w:r>
    </w:p>
    <w:p>
      <w:r>
        <w:rPr>
          <w:b/>
        </w:rPr>
        <w:t>E. 1</w:t>
      </w:r>
    </w:p>
    <w:p>
      <w:r>
        <w:t>Le recours est dirigé contre une décision de la justice de paix fixant les modalités de l'exercice du droit de visite d'un père sur ses filles mineures dont la garde appartient à la mère (art. 273 ss CC, Code civil suisse du 10 décembre 1907, RS 210). a) Selon la jurisprudence du Tribunal fédéral (ATF 107 II 499, JT 1983 I 335 c. 2b), critiquée par la doctrine (Hegnauer, Berner Kommentar, n. 94 ad art. 275 CC, p. 164; Poudret/Sandoz-Monod, Commentaire de la loi fédérale d'organisation judiciaire, vol. II, 1990, n. 1.2.24 ad Titre II, pp. 12-13; ATF 118 Ia 473 c. 2, JT 1995 I 523 c. 2), la question des relations personnelles avec un enfant mineur constitue une matière non contentieuse. Contre les décisions en matière de relations personnelles, le recours non contentieux de l'art. 420 al. 2 CC est ouvert à la Chambre des tutelles (Schwen­zer, Basler Kommentar, 3 ème éd., 2006, n. 6 ad art. 275 CC, p. 1477; art. 76 LOJV, Loi d'organisation judiciaire du 12 décembre 1979, RSV 173.01), qu'il s'agisse de mesures d'urgence (Poudret/Haldy/Tappy, Procédure civile vaudoise,</w:t>
      </w:r>
    </w:p>
    <w:p>
      <w:r>
        <w:rPr>
          <w:b/>
        </w:rPr>
        <w:t>E. 3</w:t>
      </w:r>
    </w:p>
    <w:p>
      <w:r>
        <w:t>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JT1998 I 354 c. 3c, p. 360).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précité).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Des conditions particulières pour l'exercice du droit de visite peuvent être imposées (Hegnauer, op. cit., n. 19.16, p. 114).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(TF 5A_448/2008 du 2 octobre 2008; ATF 131 III 209, JT 2005 I 2002; ATF 118 II 21 c. 3c, JT 1995 I 548). Le droit aux relations personnelles n'est ainsi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 retrait de tout droit à des relations personnelles constitue néanmoins une "ultima ratio" et ne peut être ordonné dans l'intérêt de l'enfant que si les effets négatifs des relations personnelles ne peuvent être maintenus dans des limites supportables pour l'enfant. En revanche, si le risque engendré pour l'enfant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5P.131/2006 du 25 août 2006). Il convient dès lors de faire preuve d'une certaine retenue lors du choix de cette mesure (TF 5A_699/2007 du 26 février 2008). La notion de bien de l'enfant a été élevée en droit suisse au niveau d'un droit constitutionnel. Le principe de la priorité du bien de l'enfant doit être pris dans un sens global et recouvre entre autres les possibilités de développement au niveau moral, psychique, physique et social en fonction de l'âge de l'enfant; il faut donc re­cher­cher la meilleure solution possible pour l'enfant compte tenu de toutes les circonstances du cas d'espèce (ATF 129 III 250, JT 2003 I 187 c. 3.4.2 et juris­prudence citée).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Droit de la filiation, 4 ème éd., Bâle 2009, n o 714). Si les répercussions négatives d'un droit de visite peuvent être limitées de façon suffisante par la présence d'une tierce personne, le droit de visite ne peut être supprimé (TF 5A_92/2009 du 22 avril 2009 in FamPra 2009 786). Lorsque les relations restreintes avec le parent n'ayant pas le droit de garde mettent déjà le bien-être de l'enfant en danger, il convient d'envisager la possibilité de refuser ou de retirer un droit de visite. En cas de risques sérieux pour la santé de l'enfant, tout contact personnel doit être proscrit (TF 5P.131/2006 du 25 août 2006 in FamPra 2007 167).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 2, publié in FamPra.ch 1/2008 p. 172).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2002; CREC II 23 mars 2009/50). b) En l'espèce, les principales difficultés découlent du conflit parental. Les craintes de A.S.________ quant à des épisodes d'alcoolisation et à des actes de violence de la part de B.S.________ ont conduit le juge de paix à ordonner la suspen­sion du droit de visite du père sur ses filles le 18 novembre 2009. Il s'en est suivi une longue interruption des relations personnelles entre le père et ses filles qui mani­festent quelque appréhension à l'égard de celui-ci. Le SPJ préconise la reprise progressive du droit de visite du père, tout d'abord sous surveillance, puis avec des sorties de durée croissante. Il résulte du dossier que B.S.________ a un passé judiciaire, savoir qu'il a fait presque une année de détention préventive avant d'être condamné, en 2005, à une peine de dix-huit mois suspendue au profit d'une mesure thérapeu­tique institu­tionnelle. Il a été placé à la Fondation du Levant durant près de trois ans, puis sou­mis à un traitement ambulatoire. B.S.________ a été définitivement libéré de cette mesu­re thérapeutique par décision du 10 juin 2010 du Juge d'application des peines, sa prise en charge s'étant déroulée de manière exemplaire selon l'Office d'exécution des peines. Réinséré professionnellement, il vit actuellement une relation senti­men­tale stable. Quand bien même il y a eu une rechute d'alcoolisation sérieuse en 2009, le droit de visite de B.S.________ ne peut être éternellement suspendu au regard de cette alcoolisation alors qu'il a été libéré de la mesure thérapeutique insti­tu­tion­nelle par la justice pénale le 10 juin 2010, que le rapport établi le 13 novembre 2009 par la psychologue de la Fondation du Levant souligne son évolution positive et confirme le maintien de son abstinence, et qu'il est réinséré professionnellement. Grâce aux efforts consentis pour modifier son comportement s'agissant de sa consommation de stupéfiants et d'alcool, et pour retrouver une stabilité professionnelle, sociale, affec­tive et familiale, la réinsertion de B.S.________ apparaît réussie. Il est aujourd'hui essentiel que les relations père-filles puissent repren­dre, ces relations filiales étant nécessaires à l'épanouissement d'C.S.________ et d'D.S.________. Cette reprise doit toutefois être assimilable par les deux fillettes et elle ne doit pas leur nuire. Vu le jeune âge d'C.S.________ et d'D.S.________, la longue interruption du droit de visite de leur père et le peu d'enthousiasme manifesté par l'une d'entre elles à revoir son père, une reprise trop brutale du droit de visite irait à l'encontre de leurs intérêts et pourrait engendrer des réactions de rejet. La justice de paix s'est écartée des recomman­dations du SPJ au motif que B.S.________ était opposé à toute limi­tation de son droit de visite et qu'il menaçait de renoncer à voir ses filles si des restrictions à l'exercice de son droit de visite lui étaient imposées. B.S.________ doit cependant admettre que la reprise de ses relations avec ses filles ne peut se faire qu'en douceur et avec délicatesse, à défaut de quoi elle risque fort de déstabiliser ses filles et d'échouer, celles-ci ayant besoin d'affection et de tendresse et ne pou­vant être prises dans un conflit de loyauté entre leurs parents. Le père doit comprendre qu'il ne s'agit pas de restreindre ses droits, mais de veiller à ce que le droit de visite s'exerce dans l'intérêt des enfants. Dans ce contexte, nonobstant les efforts du père et le fait qu'une partie des difficultés rencon­trées découlent des craintes de la mère, lesquelles ne consti­tuent pas en soi un motif de r­estriction du droit de visite, une reprise immédiate d'un droit de visite usuel ne peut être envisagée, la nécessité d'établir une relation harmo­nieuse entre le père et ses filles étant impérative, celles-ci n'ayant pas revu leur père depuis plus d'un an et demi. La reprise progressive des relations person­nelles telle que préconisée par le SPJ s'inscrit donc dans l'intérêt des enfants et apparaît dès lors nécessaire et adé­quate, l'objectif étant de parvenir à un plein droit de visite usuel, qui est la règle, en moins de six mois. Dans ces conditions, la cour de céans considère qu'il y a lieu de prévoir une reprise progressive du droit de visite de B.S.________ sur ses filles. Afin d'éviter les contacts directs entre les parents et de faciliter la reprise de contact entre le père et ses enfants, il convient de prévoir, durant les deux premiers mois, un droit de visite limité à trois heures tous les quinze jours et exercé dans le cadre du Point Ren­con­tre, avec autorisation de sortie. Durant les deux mois suivants, le droit de visite s'exercera en-dehors du cadre du Point Rencontre et s'étendra à une journée entière tous les quinze jours. A partir du cinquième mois, le droit de visite pourra s'étendre du samedi à 9 heures au dimanche à 18 heures pour arriver, au terme des six pre­miers mois, à l'exercice d'un droit de visite usuel du vendredi soir à 18 heures au dimanche soir à 18 heures. La décision querellée doit ainsi être réformée dans ce sens.</w:t>
      </w:r>
    </w:p>
    <w:p>
      <w:r>
        <w:rPr>
          <w:b/>
        </w:rPr>
        <w:t>E. 4</w:t>
      </w:r>
    </w:p>
    <w:p>
      <w:r>
        <w:t>La recourante requiert l'institution d'une mesure de surveillance, à for­me de l'art. 307 CC, telle que préconisée par le SPJ, afin de veiller à la bonne marche des visites qui doivent respecter le rythme des filles. a) La curatelle destinée à la surveillance du droit de visite relève de l'art. 308 al. 2 CC. L'institution d'une telle curatelle présuppose d'abord, comme toute mesure de protection (art. 307 al. 1 CC), que l'enfant coure un danger et que le développement de l'enfant soit menacé (arrêt TF non publié du 11 juin 2002, 5C.109/2002; ATF 108 II 372 c. 1). Il ne s'agit toutefois pas d'un danger au sens où l'enfant serait directement menacé de subir de mauvais traitements. Il y a danger lorsque l'on doit sérieusement craindre, d'après les circonstances, que le bien-être corporel, intellectuel et moral de l'enfant ne soit compromis; il n'est pas nécessaire que le mal soit déjà fait. Le danger qui justifie la désignation d'un curateur peut être lié à des causes aussi diverses que l'inexpérience, la maladie, l'infirmité, l'absence ou l'indifférence des parents, des prédispositions ou une conduite nuisible de l'en­fant, des parents ou de l'entourage (Meier/Stettler, Droit de la filiation, 4 ème éd., 2009, n. 1138, p. 658; Hegnauer, op. cit., n. 27.14, p. 186). Les mesures de protection de l'enfant définies aux art. 307 à 311 CC sont notamment régies par les principes de proportionnalité et de subsidiarité, ce qui implique qu'elles doivent être proportionnées au degré du danger couru par l'enfant, en restreignant l'autorité parentale aussi peu  que possible mais autant que néces­saire, et limitées à ce qui est nécessaire compte tenu des circonstances. L'Etat doit intervenir seulement si les parents ne remédient pas d'eux-mêmes à la situation et refusent l'assistance que leur offrent les services d'aide à la jeunesse (art. 307 al. 1 CC; principe de subsidiarité). Il s'agit alors de compléter, et non d'évincer, les possi­bilités offertes par les parents eux-mêmes (principe de complémentarité). L'au­to­rité ne doit prendre une mesure plus énergique que si une mesure plus douce s'est révélée infructueuse ou paraît d'emblée insuffisante (Hegnauer, op. cit., nn. 27.09 ss, pp. 185-186; Stettler, Le droit suisse de la filiation, Traité de droit privé suisse, vol. III, tome II, 1, 1987, p. 539). En outre, l'intérêt de l'enfant est la justification fondamentale de toutes les mesures des art. 307 ss CC, et doit l'emporter sur les droits des parents ou des parents nourriciers (Hegnauer, op. cit., nn. 26.04 ss, pp. 172 ss). Le curateur au sens de l'art. 308 al. 2 CC doit surveiller les relations personnelles entre l'enfant et le titulaire du droit de visite conformément aux instruc­tions de l'autorité tutélaire, mais il n'a pas le pouvoir de modifier la réglementation du droit de visite à sa place (ATF 118 II 241, JT 1995 I 98). La possibilité de confier au SPJ une curatelle à forme de l'art. 308 al. 2 CC est restreinte par l'art. 22 LProMin (Loi sur la protection des mineurs du 4 mai 2004, RSV 850.41) et par les art. 24 et 25 RLProMin (Règlement d'application de la loi du 4 mai 2004 sur la protection des mineurs du 2 février 2005, RSV 850.41.1). b) En l'espèce, la recourante, tout comme le SPJ, ne sollicite pas l'instau­ration d'une curatelle à forme de l'art. 308 al. 2 CC, mais requiert l'institution d'une simple curatelle de surveillance au sens de l'art. 307 CC alors que, sous réser­ve des modalités d'exercice du droit de visite, personne ne soutient que l'éducation reçue par les fillettes mettrait celles-ci en danger. La cour de céans considère toute­fois qu'il n'y a pas matière à ordonner une curatelle de surveillance générale au sens de l'art. 307 CC, C.S.________ et D.S.________ se développant normalement et leur besoin de protec­tion n'étant pas avéré. Si la situation devait se péjorer, il appartiendra à la recourante de saisir l'autorité tutélaire et de solliciter l'institution d'une mesure de curatelle au sens de l'art. 308 al. 2 CC.</w:t>
      </w:r>
    </w:p>
    <w:p>
      <w:r>
        <w:rPr>
          <w:b/>
        </w:rPr>
        <w:t>E. 5</w:t>
      </w:r>
    </w:p>
    <w:p>
      <w:r>
        <w:t>La recourante conteste la mise à sa charge des frais de justice de première instance. L'intimé est quant à lui opposé à ce que ces frais soient mis à sa charge. a) La décision de la justice de paix portant sur la charge des frais en matière tutélaire et de protection de l'enfant est susceptible du recours général non contentieux de l'art. 489 CPC-VD en application de l'art. 420 al. 2 CC. Les frais judiciaires liés à l'institution de mesures de protection de l'en­fant prises par l'autorité tutélaire sont en principe mis à la charge des parents, car ils entrent dans l'obligation générale d'entretien prévue par l'art. 276 al. 1 CC (Stettler, Le droit suisse de la filiation, in Traité de droit privé suisse, vol. III, tome II, 1987, p. 340; ATF 110 II 8). Ce principe découle pour le surplus des art. 22 al. 3 et 26 al. 1 RLProMin.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Les mêmes principes peuvent être appliqués dans le cas d'une procédure tendant à la réglementation du droit de visite dont les modalités poursuivent également un but protecteur (JT 2003 III 40 c. 5a et réf. citées). b) En l'espèce, la justice de paix a fait supporter l'entier des frais de la procédure de première instance à la mère. Or aucune circonstance ne justifie que l'on s'écarte de la règle générale de partage par moitié des frais. Cette solution s'impose d'autant plus qu'il ne s'agit pas d'allouer à un des pa­rents les conclusions qu'il aurait prises contre l'autre, mais de déterminer, dans l'inté­rêt de l'enfant, la mesure qui peut être imposée aux parents ou aux deux, et que l'origine de la procé­dure réside pour l'essentiel dans les dissensions des deux parents. La décision entreprise doit donc être réformée en ce sens que chacun des parents doit supporter la moitié des frais de la procédure de première instance.</w:t>
      </w:r>
    </w:p>
    <w:p>
      <w:r>
        <w:rPr>
          <w:b/>
        </w:rPr>
        <w:t>E. 6</w:t>
      </w:r>
    </w:p>
    <w:p>
      <w:r>
        <w:t>En définitive, le recours interjeté par A.S.________ doit être partiel­lement admis et la décision entreprise réformée dans le sens des considérants 3 b), 4 b) et 5 b) qui précèdent. En application des principes énoncés au considérant 5 ci-dessus, le présent arrêt peut être rendu sans frais ni dépens. Par ces motifs, la Chambre des tutelles du Tribunal cantonal, statuant à huis clos, prononce : I. Le recours est partiellement admis. II. La décision est réformée comme il suit aux chiffres I à III de son dispositif : I. dit que le droit de visite de B.S.________ s'exercera pendant deux mois par l'intermédiaire du Point Rencontre, à raison d'une visite de trois heures tous les quinze jours, le père étant autorisé à sortir des locaux avec ses enfants, les deux parents étant tenus de prendre contact avec le Point Rencontre pour la mise sur pied de l'exercice du droit de visite. I bis. dit que le droit de visite de B.S.________ s'exercera ensuite pen­dant deux mois tous les quinze jours, alternativement le samedi ou le dimanche, de 9 heures à 18 heures, à charge pour lui d'aller chercher ses filles là où elles se trouvent et de les y ramener. I ter. dit que le droit de visite de B.S.________ s'exercera ensuite pen­dant deux mois tous les quinze jours, du samedi à 9 heures au diman­che à 18 heures, à charge pour lui d'aller chercher ses filles là où elles se trouvent et de les y ramener. II. dit qu'après cette période de six mois, le droit de visite de B.S.________ s'exercera comme il suit : - un week-end sur deux, du vendredi à 18 heures au dimanche à 18 heures, - pendant quatre semaines de vacances annuelles, - alternativement à Pâques, à l'Ascension, à Pentecôte, au Jeûne Fédéral, à Noël et à Nouvel-An, à charge pour lui d'aller chercher ses filles là où elles se trouvent et de les y ramener. III. dit que les frais de première instance, par 1'100 fr. (mille cent francs), sont mis à la charge des parents par moitié pour chacun d'entre eux. III. L'arrêt est rendu sans frais ni dépens. Le président :              La greffière : Du L'arrêt qui précède, dont la rédaction a été approuvée à huis clos, est notifié à : ‑ Me Anne-Louise Gilliéron (pour A.S.________), - M. B.S.________,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