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1268 vom 19. Dezember 2011</w:t>
      </w:r>
    </w:p>
    <w:p>
      <w:r>
        <w:t>VD Tribunal cantonal, 2011-12-19, FR</w:t>
      </w:r>
    </w:p>
    <w:p>
      <w:r>
        <w:rPr>
          <w:b/>
        </w:rPr>
        <w:t xml:space="preserve">Quelle: </w:t>
      </w:r>
      <w:r>
        <w:t>https://mcp.opencaselaw.ch/entscheid/vd_findinfo_Arr_t___2011___1268</w:t>
      </w:r>
    </w:p>
    <w:p>
      <w:r>
        <w:t>FR: VD_FINDINFO Arrêt / 2011 / 1268 du 19 décembre 2011</w:t>
      </w:r>
    </w:p>
    <w:p>
      <w:r>
        <w:t>IT: VD_FINDINFO Arrêt / 2011 / 1268 del 19 dicembre 2011</w:t>
      </w:r>
    </w:p>
    <w:p>
      <w:pPr>
        <w:pStyle w:val="Heading2"/>
      </w:pPr>
      <w:r>
        <w:t>Regeste</w:t>
      </w:r>
    </w:p>
    <w:p>
      <w:r>
        <w:t>RELATIONS PERSONNELLES, AUDITION DE L'ENFANT, ADMISSION DE LA DEMANDE | 273 CC, 314 ch. 1 CC, 420 al. 2 CC, 489 CPC</w:t>
      </w:r>
    </w:p>
    <w:p>
      <w:pPr>
        <w:pStyle w:val="Heading2"/>
      </w:pPr>
      <w:r>
        <w:t>Erwägungen</w:t>
      </w:r>
    </w:p>
    <w:p>
      <w:r>
        <w:rPr>
          <w:b/>
        </w:rPr>
        <w:t>E. 1</w:t>
      </w:r>
    </w:p>
    <w:p>
      <w:r>
        <w:t>Le présent recours est dirigé contre une décision de la justice de paix relative à l'exercice du droit de visite d'un père sur ses deux enfants mineurs (art. 273 ss CC), dont la tutelle a été confiée au Tuteur général. a/aa) Conformément à la jurisprudence du Tribunal fédéral, la question des relations personnelles avec un enfant mineur constitue une matière non contentieuse (ATF 118 Ia 473 c. 2, JT 1995 I 523). Contre les décisions en matière de relations personnelles, le recours non contentieux de l'art. 420 al. 2 CC est ouvert à la Chambre des tutelles (Schwenzer, Basler Kommentar, 4 e éd., 2010, n. 6 ad art. 275 CC, p. 1484 ; art. 76 LOJV [loi d'organisation judiciaire du 12 décembre 1979, RSV 173.01]), qu'il s'agisse de mesures d'urgence (Poudret/Haldy/Tappy, Procédure civile vaudoise, 3 e éd., Lausanne 2002, n. 3 ad art. 401 CPC-VD [Code de procédure civile vaudois du 14 décembre 1966, RSV 270.11], p. 619 ; JT 2003 III 35 c. 1c) ou d'une décision au fond (CTUT 20 janvier 2010/18). Ce recours, qui s'instruit conformément aux art. 489 ss CPC-VD (art. 109 al.</w:t>
      </w:r>
    </w:p>
    <w:p>
      <w:r>
        <w:rPr>
          <w:b/>
        </w:rPr>
        <w:t>E. 3</w:t>
      </w:r>
    </w:p>
    <w:p>
      <w:r>
        <w:t>En conclusion, le recours doit être admis et la décision annulée, la cause étant renvoyée à la justice de paix pour complément d'instruction et nouvelle décision.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admis. II. La décision est annulée, la cause étant renvoyée à la Justice de paix du district de Lausanne pour complément d'instruction et nouvelle décision. III. L'arrêt est rendu sans frais. IV. L'arrêt motivé est exécutoire. Le président :              La greffière : Du 19 décembre 2011 Le dispositif de l'arrêt qui précède est communiqué par écrit aux intéressés. La greffière : Du L'arrêt qui précède, dont la rédaction a été approuvée à huis clos, est notifié à : ‑ M. A.W.________, ‑ M. le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