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1231 vom 27. Dezember 2011</w:t>
      </w:r>
    </w:p>
    <w:p>
      <w:r>
        <w:t>VD Tribunal cantonal, 2011-12-27, FR</w:t>
      </w:r>
    </w:p>
    <w:p>
      <w:r>
        <w:rPr>
          <w:b/>
        </w:rPr>
        <w:t xml:space="preserve">Quelle: </w:t>
      </w:r>
      <w:r>
        <w:t>https://mcp.opencaselaw.ch/entscheid/vd_findinfo_Arr_t___2011___1231</w:t>
      </w:r>
    </w:p>
    <w:p>
      <w:r>
        <w:t>FR: VD_FINDINFO Arrêt / 2011 / 1231 du 27 décembre 2011</w:t>
      </w:r>
    </w:p>
    <w:p>
      <w:r>
        <w:t>IT: VD_FINDINFO Arrêt / 2011 / 1231 del 27 dicembre 2011</w:t>
      </w:r>
    </w:p>
    <w:p>
      <w:pPr>
        <w:pStyle w:val="Heading2"/>
      </w:pPr>
      <w:r>
        <w:t>Regeste</w:t>
      </w:r>
    </w:p>
    <w:p>
      <w:r>
        <w:t>CURATELLE DE REPRÉSENTATION, DROIT D'ÊTRE ENTENDU, ADMISSION DE LA DEMANDE | 392 ch. 2 CC, 489 CPC, 98 LVCC</w:t>
      </w:r>
    </w:p>
    <w:p>
      <w:pPr>
        <w:pStyle w:val="Heading2"/>
      </w:pPr>
      <w:r>
        <w:t>Erwägungen</w:t>
      </w:r>
    </w:p>
    <w:p>
      <w:r>
        <w:rPr>
          <w:b/>
        </w:rPr>
        <w:t>E. 1</w:t>
      </w:r>
    </w:p>
    <w:p>
      <w:r>
        <w:t>Le recours est dirigé contre une décision de l'autorité tutélaire instituant une curatelle de représentation à forme de l'art. 392 ch. 2 CC (Code civil suisse du 10 décem­bre 1907, RS 210). a) Selon l'art. 397 al. 1 CC, la procédure en matière de curatelle est la même qu'en matière d'interdiction. L'art. 373 CC, qui traite de la procédure d'inter­diction, dispose que celle-ci est déterminée par les cantons. Dans le canton de Vaud, la procédure de mise sous curatelle, au sens des art. 392 à 394 CC, est réglée par l'art. 98 LVCC (Loi d'introduction dans le canton de Vaud du Code civil suisse du 30 novembre 1910, RSV 211.01), disposition qui ne prévoit pas expressément de voie de recours contre l'institution d'une curatelle ou le refus d'instituer une telle mesure. Le recours de l'art. 420 al. 2 CC contre les décisions de l'autorité tutélaire n'est pas non plus ouvert, vu le renvoi de l'art. 397 al. 1 CC et la jurisprudence du Tribunal fédéral excluant l'application de l'art. 420 al. 2 CC à la procédure d'interdiction (ATF 110 Ia 117, JT 1986 I 611). La Chambre des tutelles qui, en sa qualité d'autorité de surveillance en matière tutélaire, connaît de tous les recours contre les décisions des justices de paix (art. 76 LOJV, Loi d'organisation judiciaire du 12 décembre 1979, RSV 173.01), a cependant admis, de jurisprudence constante, la possibilité de re­cou­rir contre les décisions relatives à l'institution d'une curatelle ou au refus d'insti­tuer une telle mesure (CTUT 11 novembre 2010/200; CTUT 9 février 2010/29; CTUT 19 janvier 2010/16). Ce re­cours relève de la procédure non contentieuse et s'instruit selon les formes pré­vues aux art. 489 ss CPC-VD (Code de procédure civile du 14 décembre 1966, RSV 270.11; Poudret/Haldy/Tappy, Procédure civile vaudoise, 3 e éd., Lausanne 2002, n. 2.3 ad art. 489 CPC-VD, p. 758) qui demeurent applicables, nonobstant l'entrée en vigueur du Code de procédure civile suisse du 19 décembre 2008 le 1 er janvier 2011 (art. 174 CDPJ [Code de droit privé judiciaire vaudois du 12 janvier 2010, RSV 211.01]). Ouvert au pupille capable de discernement et à tout intéressé (art. 420 al. 1 CC, par analogie), il s'exerce par acte écrit dans le délai de dix jours dès la communication de la décision attaquée (art. 492 al. 1 et 2 CPC-VD).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JT 2001 III 121). b) Le présent recours, interjeté en temps utile par les père et mère de la mineure concernée, détenteurs de l'autorité parentale auxquels la qualité d'intéres­sés doit être reconnue (ATF 137 III 67; ATF 121 III 1 c. 2a, JT 1996 I 662), est recevable à la forme. Il en va de même de l'écriture déposée dans le délai imparti et des pièces produites en deuxième instance (Poudret/Haldy/Tappy, op. cit., n. 2 ad art. 496 CPC-VD, p. 765).</w:t>
      </w:r>
    </w:p>
    <w:p>
      <w:r>
        <w:rPr>
          <w:b/>
        </w:rPr>
        <w:t>E. 2</w:t>
      </w:r>
    </w:p>
    <w:p>
      <w:r>
        <w:t>a)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Selon l'art. 98 LVCC, lorsqu'il y a lieu de nommer un curateur en application des art. 392 à 394 CC, la justice de paix y procède à bref délai et après audition des intéressés, sur simple requête même verbale, ou d'office sur un rapport du juge de paix (al. 1). Le juge de paix s'assure des circonstances qui rendent la nomination nécessaire (al. 2). Conformément à l'art. 396 al. 1 CC, c'est l'autorité tutélaire du domicile de la personne à placer sous curatelle qui est compétente. En principe, une mesure tutélaire, y compris une curatelle, ne peut être prononcée sans que l'intéressé ait été au préalable entendu (Deschenaux/Steinauer, Personnes physiques et tutelle, 4 e éd., 2001, nn. 902a et 1125, pp. 351 et 421). Il peut être fait abstraction de cette exigence si des motifs médicaux s'y opposent et excluent cette audition (cf. art. 374 al. 2 CC; Schnyder/Murer, Berner Kommentar, n. 49 ad art. 397 CC, p. 1037; Geiser, Basler Kommentar, 3 e éd., n. 14 ad art. 397 CC, p. 1922; ATF 113 II 229, JT 1990 I 37). Par intéressé, il faut entendre avant tout le dénonçant et le dénoncé. b) En l'espèce, les recourants, détenteurs de l'autorité parentale sur leur fille B.D.________, étant domiciliés à Lausanne, la Justice de paix du district de Lausanne était compétente à raison du lieu pour prendre la décision querellée (art. 396 al. 1 CC). Les recourants n'ont toutefois été ni cités à comparaître, ni interpellés, ni enten­dus par la justice de paix au sujet de l'institution d'une mesure de curatelle de repré­sen­tation en faveur de leur fille mineure. Leur droit d'être entendus n'a ainsi pas été respecté (cf. CTUT 4 février 2010/26). Le pouvoir d'examen dont dispose la cour de céans ne saurait remédier au défaut d'audition des parents de l'enfant concernée qui s'imposait à l'autorité tutélaire avant qu'elle ne prenne la décision querellée. Partant, la décision attaquée étant formellement incorrecte, il convient de l'annuler et de renvoyer la cause à la justice de paix afin qu'elle procède à l'audition des recourants et qu'elle examine si les conditions prévues à l'art. 392 ch. 2 CC sont réalisées, notamment si les intérêts de B.D.________ sont en opposition avec ceux de ses parents. Cela se justifie d'autant plus qu'il y a lieu de prendre en considération des faits nouveaux, à savoir en particulier les démarches récemment entreprises par les recourants.</w:t>
      </w:r>
    </w:p>
    <w:p>
      <w:r>
        <w:rPr>
          <w:b/>
        </w:rPr>
        <w:t>E. 3</w:t>
      </w:r>
    </w:p>
    <w:p>
      <w:r>
        <w:t>En définitive, le recours interjeté par A.D.________ et J.________ doit être admis et la décision entreprise annulée, la cause étant renvoyée à la justice de paix pour nouvelle instruction et nouvelle décision.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en matière civile, RSV 270.11.5). Quand bien même ils obtiennent gain de cause et ont procédé par l'intermédiaire d'un mandataire professionnel, les recourants n'ont pas droit à des dépens. La justice de paix n'a en effet pas qualité de partie, mais d'autorité de première instance (Poudret/Haldy/Tappy, op. cit., n. 2 ad art. 396 CPC-VD, p. 602 et n. ad art. 499 CPC, p. 766; JT 1979 III 127; ATF 84 II 677, JT 1959 I 524). Par ces motifs, la Chambre des tutelles du Tribunal cantonal, statuant à huis clos, prononce : I. Le recours est admis. II. La décision est annulée. III. La cause est renvoyée à la Justice de paix du district de Lausanne pour nouvelle instruction et nouvelle décision. IV. L'arrêt est rendu sans frais ni dépens. V. L'arrêt est exécutoire. Le président :              La greffière : Du L'arrêt qui précède, dont la rédaction a été approuvée à huis clos, est notifié à : ‑ Me Mélanie Freymond (pour A.D.________ et B.D.________), ‑ Me Mathieu Genillod, ‑ Ministère public de l'arrondissement de Lausanne,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