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1156 vom 10. Januar 2012</w:t>
      </w:r>
    </w:p>
    <w:p>
      <w:r>
        <w:t>VD Tribunal cantonal, 2012-01-10, FR</w:t>
      </w:r>
    </w:p>
    <w:p>
      <w:r>
        <w:rPr>
          <w:b/>
        </w:rPr>
        <w:t xml:space="preserve">Quelle: </w:t>
      </w:r>
      <w:r>
        <w:t>https://mcp.opencaselaw.ch/entscheid/vd_findinfo_Arr_t___2011___1156</w:t>
      </w:r>
    </w:p>
    <w:p>
      <w:r>
        <w:t>FR: VD_FINDINFO Arrêt / 2011 / 1156 du 10 janvier 2012</w:t>
      </w:r>
    </w:p>
    <w:p>
      <w:r>
        <w:t>IT: VD_FINDINFO Arrêt / 2011 / 1156 del 10 gennaio 2012</w:t>
      </w:r>
    </w:p>
    <w:p>
      <w:pPr>
        <w:pStyle w:val="Heading2"/>
      </w:pPr>
      <w:r>
        <w:t>Regeste</w:t>
      </w:r>
    </w:p>
    <w:p>
      <w:r>
        <w:t>RECONVERSION PROFESSIONNELLE, LOI FÉDÉRALE SUR L'ASSURANCE-INVALIDITÉ, PRESTATION D'ASSURANCE{AI} | 15 LAI, 17 LAI, 8 LAI, 21 al. 4 LPGA</w:t>
      </w:r>
    </w:p>
    <w:p>
      <w:pPr>
        <w:pStyle w:val="Heading2"/>
      </w:pPr>
      <w:r>
        <w:t>Erwägungen</w:t>
      </w:r>
    </w:p>
    <w:p>
      <w:r>
        <w:rPr>
          <w:b/>
        </w:rPr>
        <w:t>E. 1</w:t>
      </w:r>
    </w:p>
    <w:p>
      <w:r>
        <w:t>let. c LPA-VD) et prévoit à cet égard la compétence de la cour des assurances sociales du Tribunal cantonal (art. 93 al. 1 let. a LPA-VD). c) Il s'ensuit que la Cour de céans est compétente pour statuer sur le recours, interjeté en temps utile (art. 60 LPGA) compte tenu des féries (art. 38 al. 4 let. b LPGA) par le recourant, contre la décision rendue le 13 juillet 2009 par l'Office de l'assurance-invalidité pour le canton de Vaud.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dans son ensemble, mais se borne à examiner les aspects de cette décision que le recourant a critiqués, exception faite lorsque les points non critiqués ont des liens étroits avec la question litigieuse (cf. ATF 125 V 413, consid. 2c; 110 V 48, consid. 4a; RCC 1985 p. 53). Aux termes de l'art. 8 LPGA, est réputée invalidité l'incapacité de gain totale ou partielle qui est présumée permanente ou de longue durée. L'invalidité peut résulter d'une infirmité congénitale, d'une maladie ou d'un accident (art. 4 al. 1 LAI). L'assuré a droit à une rente s'il est invalide à 40% au moins (art. 28 LAI), et à des mesures professionnelles s'il est invalide à environ 20% au moins (ATF 124 V 108, consid. 2b; TF 9C_818/2007 du 11 novembre 2008, consid. 2.2).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(ATF 129 V 472, consid. 4.2.1; TF 9C_900/2009 du 27 avril 2010, consid. 3.3; TF 9C_609/2009 du 15 avril 2010, consid. 8.2.2).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126 V 75, consid. 5b/aa-cc). b) En l'espèce, il n'y a pas à revenir sur le refus d'octroi d'une rente d'invalidité qu'a opposé l'OAI au recourant, pas plus que sur le taux d'invalidité reconnu dans la décision attaquée. Ces deux aspects ne sont pas contestés et l'évaluation de l'invalidité que fait l'OAI, lorsqu'elle s'appuie sur un revenu théorique établi sur base des données résultant de l'Enquête suisse sur la structure des salaires, ainsi que sur un abattement supplémentaire de 15%, apparaît conforme à la loi et à la jurisprudence. Dans cette mesure, il faut considérer que le recourant présente un taux d'invalidité de 31%, inférieur à celui lui donnant droit à la rente, mais supérieur à la limite de 20% environ fixée par la jurisprudence pour ouvrir le droit à des mesures professionnelles.</w:t>
      </w:r>
    </w:p>
    <w:p>
      <w:r>
        <w:rPr>
          <w:b/>
        </w:rPr>
        <w:t>E. 3</w:t>
      </w:r>
    </w:p>
    <w:p>
      <w:r>
        <w:t>a) Sous réserve des problématiques découlant du principe de la bonne foi, il faut comprendre les décisions administratives non pas selon leur lettre, mais selon la signification juridique réelle qu'elles contiennent (ATF 120 V 496, consid. 1a; TF 1E.6/2005 du 25 août 2005, consid. 4.2, non publié dans: ATF 131 II 581). b) En l'occurrence, le titre "refus de rente d'invalidité" de la décision attaquée ne faisait référence qu'à la seule prestation de rente. Mais le dispositif rejetait sans autre précision la demande AI du recourant, demande qui portait aussi sur l'octroi de mesures professionnelles. En outre, dans la motivation de la décision attaquée, l'OAI manifestait son refus de prise en charge de la formation de coach et masseur sportif. L'Office revenait aussi sur le refus par le recourant de suivre un stage Oriph pour conclure ensuite que seule une aide au placement pouvait encore être proposée. Dans ces circonstances, sans même faire appel au principe de la bonne foi, il faut admettre - comme l'Office l'a en définitive fait dans sa réplique - que la décision portait aussi sur la question des mesures d'ordre professionnel en faveur du recourant, de sorte que le recours – qui critique ces points - doit être traité sur le fond.</w:t>
      </w:r>
    </w:p>
    <w:p>
      <w:r>
        <w:rPr>
          <w:b/>
        </w:rPr>
        <w:t>E. 4</w:t>
      </w:r>
    </w:p>
    <w:p>
      <w:r>
        <w:t>a) Le recourant conteste principalement le refus de prise en charge d'une formation de coach et masseur sportif, puis, subsidiairement, l'absence d'examen et de proposition d'autres mesures de reclassement par l'OAI. b) L'art. 8 al. 1 LAI pose le principe de l'octroi, en faveur des assurés invalides ou menacés d'une invalidité imminente, de mesures de réadaptation nécessaires et de nature à rétablir leur capacité de gain, à l'améliorer ou à la sauvegarder ou à en favoriser l'usage. Selon l'article 8 al. 3 let. b LAI, les mesures de réadaptation comprennent les mesures d'ordre professionnel au sens des articles 15 à 18 LAI. Aux termes de l'art. 17 al. 1 LAI, l'assuré a droit au reclassement dans une nouvelle profession si son invalidité rend nécessaire cette mesure et que sa capacité de gain peut ainsi, selon toute vraisemblance, être maintenue ou améliorée. Selon la jurisprudence, est réputé invalide au sens de l'art. 17 al. 1 LAI, l'assuré qui, du fait de la nature et de la gravité de l'atteinte à sa santé après la survenance de celle-ci, subit une perte de gain permanente ou durable d'environ 20% dans les activités lucratives qu'on peut encore attendre de lui sans formation professionnelle complémentaire (ATF 124 V 108; RCC 1984 p. 95; VSI 1997 p. 79; VSI 2000 p. 63).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(ATF 124 V 108, consid. 2a p. 109 ; TF 9C_644/2008 du 12 décembre 2008, consid. 3). En règle ordinaire,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en particulier, il ne peut prétendre une formation d'un niveau nettement supérieur à celui de son ancienne activité (9C_644/2008, consid. 3; ATFA 1965 p. 42), sauf si la nature et la gravité de l'invalidité sont telles que seule une formation d'un niveau supérieur permet de mettre à profit d'une manière optimale la capacité de travail à un niveau professionnel plus élevé (ATF 124 V 108 consid. 2a p. 109; TF 9C_644/2008 du 12 décembre 2008, consid. 3). Comme toute mesure de réadaptation, les mesures de reclassement doivent par ailleurs être adéquates: il doit exister une proportion raisonnable entre les frais qu'elles entraînent, leur durée et le résultat que l'on peut en attendre (ATF 103 V 16, consid. 1b; 99 V 34) et, si les préférences de l'intéressé quant au choix du genre de reclassement doivent être prises en considération, elles ne sauraient toutefois jouer un rôle déterminant (TF 9C_644/2008 du 12 décembre 2008, consid. 3 et les références citées).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 er février 2010, consid. 2.4 ; 9C_420/2009 du 24 novembre 2009, consid. 5.4 ; TFA I 268/03 du 4 mai 2004, consid. 2.2; VSI 2002 p. 112 consid. 2 et les références). Partant, si l'aptitude subjective de réadaptation de l'assuré fait défaut, l'administration peut refuser de mettre en oeuvre une mesure ou y mettre fin (TF I 552/06 du 13 juin 2007, consid. 3.1; TFA I_370/98 du 26 août 1999, publié in VSI 2002 p. 111).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TFA I 660/02 du 2 décembre 2002, consid. 2.1)). c) Quant à la requête du recourant de prise en charge d'un cours de coach sportif et masseur, l'OAI refuse cette mesure en arguant du manque d'expérience du recourant dans le domaine, de son âge et du manque de débouchés économiques à l'issue de la formation. Le recourant estime que ce refus n'est pas fondé objectivement et qu'il est disproportionné. On ne peut partager ses critiques. Repris ensuite à l'appui de la décision, les avis des 4 mars et 26 mai 2009 figurant au dossier exposent déjà les motifs précités. Ces motifs, notamment l'âge et l'absence d'expérience du recourant, sont objectifs et convaincants. L'avis de l'OAI est d'ailleurs concordant avec l'orientation suggérée au recourant par l'Office régional de placement, visant à valoriser ses acquis antérieurs en particulier dans la restauration (10 années d'expérience). Le recourant a aussi exposé qu'un stage dans ce domaine s'était bien déroulé (cf. note OAI concernant l'entretien du 26 novembre 2008). Or, sauf pour ses connaissances en matière d'huiles essentielles et une expérience - que lui-même qualifie de sommaire - des massages, il ne ressort ni de ses écrits, ni du dossier en général que le recourant puisse présenter des aptitudes particulières dans le domaine du "coaching" ou du massage sportif. En outre, si l'Office fait valoir un manque de débouchés pour cette activité sans appuyer cette affirmation par des chiffres, le recourant s'est pour sa part contenté de prétendre qu'il avait constaté que de nombreuses personnes de son âge exerçaient une activité de ce type. Il n'a toutefois pas fait mention d'une offre de stage dans ce domaine, ni n'a déposé aucune pièce qui permette de considérer qu'il pourrait y trouver, mieux que dans le domaine qu'il connaît déjà qu'est la restauration, un emploi rémunéré. Comme rappelé précédemment, les préférences de l'assuré n'ont pas à intervenir de manière déterminante dans le choix du reclassement. La mesure a pour but de maintenir ou d'améliorer la capacité de gain de l'assuré. On ne saurait donc lui octroyer une mesure de reclassement dans la profession de son choix, alors qu'elle n'est vraisemblablement pas appropriée à atteindre le but de la mesure. Ainsi que le relève la jurisprudence, la réussite d'une telle mesure nécessite un pronostic. Celui qu'a posé l'OAI dans le cas d'espèce, négatif, se fonde sur des raisons objectives, s'agissant d'une profession dont l'exercice paraît certainement attractif, mais dont les débouchés sont tout sauf évidents pour une personne qui s'y lancerait sur le tard, sans expérience préalable et à l'issue d'une formation dont le recourant lui-même admet qu'elle est de courte durée. Pour ces raisons, la décision attaquée est bien fondée et la conclusion principale du recourant doit être rejetée.</w:t>
      </w:r>
    </w:p>
    <w:p>
      <w:r>
        <w:rPr>
          <w:b/>
        </w:rPr>
        <w:t>E. 5</w:t>
      </w:r>
    </w:p>
    <w:p>
      <w:r>
        <w:t>a) A l'appui de ses conclusions subsidiaires, le recourant reproche en substance à l'OAI d'avoir considéré son refus de suivre un stage auprès de l'Oriph comme constituant un refus de toute autre mesure professionnelle. L'OAI lui aurait ainsi reconnu formellement le droit à l'orientation professionnelle, mais sans lui proposer une formation qui lui permettrait de valoriser au mieux sa capacité de gain, vu les limitations fonctionnelles dues à son handicap. b) Selon l’art. 28 aI. 1 let. a LAI, la réadaptation est prioritaire par rapport à l’octroi de la rente, laquelle est versée dans la mesure où la réadaptation a échoué (cf. ATF 126 V 241, consid. 5; 108 V 210, consid. 1d). Pour cette raison, saisie d'une demande de rente ou appelée à se prononcer à l'occasion d'une révision de celle-ci, l'administration doit examiner d'office, avant toute chose, la question de la réintégration de l'assuré dans le circuit économique (ATF 108 V 210 précité; TF I 552/06 du 13 juin 2007, consid. 3.1). Selon l'art. 21 al. 4 LPGA (voir également l'art. 7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(TF I 552/06 du 13 juin 2007, consid. 4.1 ; TFA I 605/04 du 11 janvier 2005, consid. 2 et les références). Sur ce point, ainsi que le recourant l'a relevé, il convient de prendre en compte la duplique déposée le 28 janvier 2010 par l'OAI. Dans cette écriture, l'Office, après l'avoir contesté, a finalement admis que la décision attaquée portait bien sur le refus de mesures professionnelles, notamment d'un reclassement. En outre, si l'OAI maintient alors sa décision et conclut au rejet du recours, il écrit aussi que "l'examen du droit à des mesures professionnelles pourrait être repris par un spécialiste en réinsertion professionnelle sur demande de la part du recourant". Il dépose aussi au dossier des pièces qui montrent qu'un stage au titre de l'orientation professionnelle a été accordé, en janvier 2010, au recourant. Dans cette mesure, on doit en conclure que, même si l'OAI ne le formule pas de cette façon, il a en définitive acquiescé aux conclusions subsidiaires du recourant, qui estimait que des mesures professionnelles autres que la simple aide au placement devaient encore être examinées pour lui. L'admission en janvier 2010 d'un stage d'orientation en entreprise vient renforcer cette conclusion. On peut objecter que l'état d'esprit du recourant a changé, ce qui justifierait aujourd'hui que des mesures professionnelles puissent être examinées. Il ne semble toutefois pas que ce soit le cas: depuis la notification de la décision et le dépôt du recours, le recourant a toujours maintenu que, si la formation désirée ne lui était pas accordée, il sollicitait de l'OAI que lui soit transmise une proposition professionnelle. Il est difficile de tirer des conclusions de la procédure d'audition, puisque l'assuré semble n'y avoir pas réagi. Certes, on peut reprocher au recourant d'avoir refusé le stage auprès de l'Oriph que proposait l'OAI. Mais, ainsi qu'il ressort de l'art. 21 LPGA et de la jurisprudence précitée, le recourant devait faire l'objet d'une mise en demeure formelle, si l'on voulait tirer de ce refus de stage des conclusions quant au refus de prestations à l'assuré. De ce point de vue, la procédure de mise en demeure doit être suivie même si l'assuré refuse de manière claire de se soumettre à une mesure concrète, présentant des chances de succès et qui est exigible de lui. La référence à la possibilité de déposer ultérieurement une nouvelle requête ne suffit pas non plus à se dispenser de la mise en demeure (TF I 605/04 du 11 janvier 2005, consid. 2.2). On a déjà vu que la décision attaquée porte aussi le refus de la demande du recourant quant à des mesures professionnelles, cela contrairement à ce qu'a défendu dans un premier temps l'OAI. Au vu de ce qui précède, il faut aussi considérer que l'OAI a rejeté de manière prématurée la demande du recourant, en ce qu'elle concernait ces mesures professionnelles. D'une part, même sans en tirer de modification de ses conclusions, l'Office a en définitive admis ce grief dans son écriture du 28 janvier 2010 - et l'octroi d'une orientation professionnelle en cours de procédure pourrait aussi être considéré comme un acte concluant dans ce cadre -. D'autre part, on doit aussi prendre en compte que les conclusions tirées par l'OAI du refus du stage Oriph - dont l'Office a visiblement conclu une absence de dispositions subjectives au reclassement chez le recourant - ont été adoptées sans que le recourant soit formellement et clairement (soit par écrit et en lui impartissant un délai de réflexion convenable) rendu attentif aux conséquences dudit refus. La jurisprudence rappelle que la procédure en cause a pour but "de rendre l'assuré attentif aux conséquences négatives possibles d'une attitude rénitente à collaborer, afin qu'il soit à même de prendre une décision en pleine connaissance de cause et, le cas échéant, de modifier sa conduite" (TF I 552/06 précité, consid. 4). Or, l'acte de recours montre que tel n'a pas été le cas puisqu'à réception de la décision, le recourant a ensuite toujours protesté de sa volonté de bénéficier d'une démarche de reclassement. Dans cette mesure, il se justifie d'annuler la décision en cause, dès lors qu'elle a rejeté la demande de mesures professionnelles du recourant sans examen complet et sans égard à la procédure applicable en cas de refus de se soumettre à une mesure. Pour ces motifs, la conclusion subsidiaire du recourant doit être admise et l'affaire renvoyée à l'intimé afin qu'il procède à un nouvel examen des droits du recourant à des mesures professionnelles.</w:t>
      </w:r>
    </w:p>
    <w:p>
      <w:r>
        <w:rPr>
          <w:b/>
        </w:rPr>
        <w:t>E. 6</w:t>
      </w:r>
    </w:p>
    <w:p>
      <w:r>
        <w:t>Le recourant obtient partiellement gain de cause puisqu'il est fait droit à ses conclusions subsidiaires. Assisté d'un mandataire professionnel, il a droit à une indemnité à titre de dépens réduits (art. 61 let. g LPGA; art. 55 al. 1 LPA-VD) dont il convient d’arrêter le montant à 1'000 fr. à la charge de l’OAI, tenant compte de l'importance et de la complexité du litige ainsi que de l'admission partielle du recours (art. 55 al. 2 et 56 al. 2 LPA-VD). Il n’y a pas lieu de percevoir d’émolument judiciaire à la charge de l’intimé qui succombe (art.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