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1109 vom 22. September 2011</w:t>
      </w:r>
    </w:p>
    <w:p>
      <w:r>
        <w:t>VD Tribunal cantonal, 2011-09-22, FR</w:t>
      </w:r>
    </w:p>
    <w:p>
      <w:r>
        <w:rPr>
          <w:b/>
        </w:rPr>
        <w:t xml:space="preserve">Quelle: </w:t>
      </w:r>
      <w:r>
        <w:t>https://mcp.opencaselaw.ch/entscheid/vd_findinfo_Arr_t___2011___1109</w:t>
      </w:r>
    </w:p>
    <w:p>
      <w:r>
        <w:t>FR: VD_FINDINFO Arrêt / 2011 / 1109 du 22 septembre 2011</w:t>
      </w:r>
    </w:p>
    <w:p>
      <w:r>
        <w:t>IT: VD_FINDINFO Arrêt / 2011 / 1109 del 22 settembre 2011</w:t>
      </w:r>
    </w:p>
    <w:p>
      <w:pPr>
        <w:pStyle w:val="Heading2"/>
      </w:pPr>
      <w:r>
        <w:t>Regeste</w:t>
      </w:r>
    </w:p>
    <w:p>
      <w:r>
        <w:t>TUTELLE, NULLITÉ, ADMISSION DE LA DEMANDE, DROIT D'ÊTRE ENTENDU | 369 CC, 374 al. 2 CC, 379 CPC, 382 al. 2 CPC, 393 CPC</w:t>
      </w:r>
    </w:p>
    <w:p>
      <w:pPr>
        <w:pStyle w:val="Heading2"/>
      </w:pPr>
      <w:r>
        <w:t>Erwägungen</w:t>
      </w:r>
    </w:p>
    <w:p>
      <w:r>
        <w:rPr>
          <w:b/>
        </w:rPr>
        <w:t>E. 1</w:t>
      </w:r>
    </w:p>
    <w:p>
      <w:r>
        <w:t>L'appel est dirigé contre une décision de l'autorité tutélaire instituant une mesure de tutelle à forme de l'art. 369 CC (Code civil suisse du 10 décembre 1907, RS 210) en faveur de l'appelant. Conformément à l'art. 393 CPC-VD (Code de procédure civile du 14 dé­cem­­bre 1966, RSV 270.11), qui demeure applicable aux décisions rendues après le 1 er janvier 2011 (art. 174 CDPJ, Code de droit privé judiciaire vaudois du 12 janvier 2010, RSV 211.01),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169-170; CTUT 23 juin 2005/ 94). Interjeté en temps utile par la personne interdite, le présent appel est recevable à la forme. Il en va de même des écritures déposées dans les délais impartis et des pièces produites en deuxième instance (art. 393 al. 3 CPC-VD).</w:t>
      </w:r>
    </w:p>
    <w:p>
      <w:r>
        <w:rPr>
          <w:b/>
        </w:rPr>
        <w:t>E. 2</w:t>
      </w:r>
    </w:p>
    <w:p>
      <w:r>
        <w:t>En matière non contentieuse, la  Chambre  des  tutelles  peut  examiner d'office si les règles essen­tiel­les de la procédure d'interdiction, dont la violation pourrait entraîner l'annulation du jugement attaqué, ont été respectées (Poudret/ Haldy/Tappy, Procédure civile vaudoi­se,</w:t>
      </w:r>
    </w:p>
    <w:p>
      <w:r>
        <w:rPr>
          <w:b/>
        </w:rPr>
        <w:t>E. 3</w:t>
      </w:r>
    </w:p>
    <w:p>
      <w:r>
        <w:t>F.________ conteste encore le traitement médical ambulatoire qui lui a été imposé. La question de savoir si les motifs développés ci-dessus au sujet de l'audition du dénoncé valent également pour le traitement ambulatoire imposé au recourant peut demeurer indécise, un tel traitement étant actuellement dépourvu de base légale (cf. art. 437 al. 2 CC dans sa teneur modifiée le 19 décembre 2008 et dont l'entrée en vigueur a été fixée au 1 er janvier 2013). L'annulation du chiffre VII du dispositif est par conséquent également justifiée.</w:t>
      </w:r>
    </w:p>
    <w:p>
      <w:r>
        <w:rPr>
          <w:b/>
        </w:rPr>
        <w:t>E. 4</w:t>
      </w:r>
    </w:p>
    <w:p>
      <w:r>
        <w:t>En définitive, le recours et l'appel interjetés par F.________ doivent être admis et la décision entreprise annulée, la cause étant renvoyée à la justice de paix pour nouvelle instruction et nouvelle décision dans le sens des considérants. Le présent arrêt peut être rendu sans frais conformément à l'art. 236 al. 1 aTFJC (Tarif du 4 décembre 1984 des frais judiciaires en matière civile) qui continue à s'appliquer pour toutes les procédures visées à l'art. 174 CDPJ (art. 100 TFJC, Tarif du 28 septembre 2010 des frais judiciaires en matière civile, RSV 270.11.5). Par ces motifs, la Chambre des tutelles du Tribunal cantonal, statuant à huis clos, prononce : I. Le recours et l'appel sont admis. II. La décision est annulée et la cause est renvoyée à la Justice de paix du district de Lausanne pour nouvelle instruction et nouvelle décision. III. L'arrêt est rendu sans frais. IV. L'arrêt motivé est exécutoire. Le président :              La greffière : Du 22 septembre 2011 Le dispositif de l'arrêt qui précède est communiqué par écrit aux intéressés. La greffière : Du L'arrêt qui précède, dont la rédaction a été approuvée à huis clos, est notifié à : ‑ M. F.________, ‑ Tuteur général, ‑ Ministère public central,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