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1080 vom 25. August 2011</w:t>
      </w:r>
    </w:p>
    <w:p>
      <w:r>
        <w:t>VD Tribunal cantonal, 2011-08-25, FR</w:t>
      </w:r>
    </w:p>
    <w:p>
      <w:r>
        <w:rPr>
          <w:b/>
        </w:rPr>
        <w:t xml:space="preserve">Quelle: </w:t>
      </w:r>
      <w:r>
        <w:t>https://mcp.opencaselaw.ch/entscheid/vd_findinfo_Arr_t___2011___1080</w:t>
      </w:r>
    </w:p>
    <w:p>
      <w:r>
        <w:t>FR: VD_FINDINFO Arrêt / 2011 / 1080 du 25 août 2011</w:t>
      </w:r>
    </w:p>
    <w:p>
      <w:r>
        <w:t>IT: VD_FINDINFO Arrêt / 2011 / 1080 del 25 agosto 2011</w:t>
      </w:r>
    </w:p>
    <w:p>
      <w:pPr>
        <w:pStyle w:val="Heading2"/>
      </w:pPr>
      <w:r>
        <w:t>Regeste</w:t>
      </w:r>
    </w:p>
    <w:p>
      <w:r>
        <w:t>CURATELLE DE REPRÉSENTATION, NATURALISATION FACILITÉE, REJET DE LA DEMANDE, INTÉRÊT DE L'ENFANT, PROTECTION DE L'ENFANT | 307 CC, 308 al. 2 CC, 308 CC, 420 al. 2 CC, 489 CPC, 1 al. 2 LN, 58c LN</w:t>
      </w:r>
    </w:p>
    <w:p>
      <w:pPr>
        <w:pStyle w:val="Heading2"/>
      </w:pPr>
      <w:r>
        <w:t>Erwägungen</w:t>
      </w:r>
    </w:p>
    <w:p>
      <w:r>
        <w:rPr>
          <w:b/>
        </w:rPr>
        <w:t>E. 1</w:t>
      </w:r>
    </w:p>
    <w:p>
      <w:r>
        <w:t>a) La décision entreprise, par laquelle la Justice de paix du district du Jura-Nord vaudois a renoncé à l’institution d’une mesure de curatelle de représentation tendant à l’obtention de la nationalité suisse à l’endroit de l’enfant B.L.________, constitue une décision en matière de mesures de protection de l’enfant au sens des art. 307 ss CC (Code civil suisse du 10 décembre 1907 ; RS 210) et 399 ss CPC-VD (Code de procédure civile vaudois du 14 décembre 1966). Le CPC-VD reste applicable aux voies de droit, nonobstant l'entrée en vigueur le 1 er janvier 2011 du CPC (Code de procédure civile suisse du 19 décembre 2008 ; RS 272), conformément à l’art. 174 CDPJ (Code de droit privé judiciaire vaudois du 12 janvier 2010, RSV 211.02 ; JT 2011 III 48). b/aa) Contre une telle décision, un recours est ouvert à la Chambre des tutelles (art. 420 al. 2 CC ; art. 405 CPC-VD ; art. 76 al. 2 LOJV [loi d’organisation judiciaire du 12 décembre 1979 ; RSV 173.01]). Ce recours, qui s’exerce selon les formes du recours non contentieux (art. 405 CPC-VD) et s'instruit conformément aux art. 489 ss CPC-VD (art. 109 al. 3 LVCC [loi d'introduction dans le Canton de Vaud du Code civil suisse du 30 novembre 1910 ; RSV 211.01]), s'exerce par acte écrit dans les dix jours dès la communication de la décision attaquée (art. 420 al. 2 CC ; art. 405 et 492 al. 1 et 2 CPC-VD). Il est ouvert à tout intéressé (art. 420 al. 1 CC par analogie et 405 CPC-VD), soit à chacun des parents notamment (Hegnauer, Droit suisse de la filiation et de la famille, 4 e éd., Berne 1998, adaptation française par Meier [ci-après : Hegnauer, Droit suisse de la filiation], n. 27.64, p. 205 ; Revue du droit de tutelle [RDT] 1955, p. 101). La Chambre des tutelles peut réformer la décision attaquée ou en prononcer la nullité (art. 498 al. 1 CPC-VD). Si la cause n'est pas suffisamment instruite, elle peut la renvoyer à l'autorité tutélaire ou procéder elle-même à l'instruction complémentaire (art. 498 al.</w:t>
      </w:r>
    </w:p>
    <w:p>
      <w:r>
        <w:rPr>
          <w:b/>
        </w:rPr>
        <w:t>E. 2</w:t>
      </w:r>
    </w:p>
    <w:p>
      <w:r>
        <w:t>a) Le recourant fait valoir que si B.L.________ était né après le 31 décembre 2005, il aurait acquis dès sa naissance les deux nationalités de ses parents – à savoir la nationalité française de sa mère et la nationalité suisse de son père – et l’intimée n’aurait pas pu s’y opposer. L’enfant étant né juste avant l’entrée en vigueur de cette modification législative, il lui suffit de déposer une demande de naturalisation facilitée pour obtenir la nationalité suisse. Celle-ci s’introduit en remplissant un formulaire intitulé « Demande de naturalisation facilitée art. 58c LN », qui est délivré par l’Office fédéral des migrations (ODM) et qui, lorsque le requérant n’a pas encore dix-huit ans, doit être signé par le ou les détenteurs de l’autorité parentale. Le recourant estime que l’acquisition par un enfant de la nationalité suisse de son père alors qu’il a déjà celle de sa mère ne peut que lui être bénéfique ; en particulier, le fait pour l’enfant d’avoir la nationalité de ses deux parents ne peut que renforcer le lien affectif et culturel avec ces derniers. En outre, comme B.L.________ vit en Suisse depuis sa naissance, il a tout intérêt à acquérir la nationalité de ce pays, ne serait-ce que pour des questions pratiques ou pour ne pas avoir à se faire octroyer et renouveler une autorisation de séjour en Suisse ; il bénéficie déjà de la même possibilité vis-à-vis de la France, pays d’origine de sa mère dont il a acquis la nationalité dès sa naissance. De l’avis du recourant, si l’autorité tutélaire ne statuait pas sur cette question, cela reviendrait à cautionner l’attitude de l’un des parents, en l’occurrence celle de la mère, consistant à écarter l’autre parent de toute décision concernant l’enfant. Il est important pour l’identité et le vécu de celui-ci qu’il puisse librement développer des liens de toutes sortes avec ses deux parents, y compris celui des racines et de l’origine, l’acquisition de la nationalité suisse pour B.L.________ étant selon le recourant d’autant plus naturelle et importante que l’enfant habite en Suisse depuis sa naissance. S’agissant du fait qu’entendue à ce sujet lors de la séance de la justice de paix du 21 octobre 2010, l’intimée a indiqué que pour l’instant B.L.________ désirait être français comme ses frère et sœur – tout en déclarant s'en remettre à justice –, le recourant relève que B.L.________ restera français comme son frère et sa soeur même s’il acquiert une deuxième nationalité et que c’est un plus que l’on ne doit pas lui refuser (mémoire de recours, pp. 3-4). b/aa) Selon l’art. 296 al. 1 CC, l’enfant est soumis, pendant sa minorité, à l’autorité parentale. Lorsque les parents de l’enfant sont mariés (art. 297 al. 1 CC) ou, s’agissant de parents non mariés, lorsque l’autorité tutélaire leur a attribué conjointement l’autorité parentale (art. 298a al. 1 CC), ils exercent en principe l’autorité parentale en commun (Vez, Commentaire romand, Code civil I, Bâle 2010, n. 1 ad art. 297 CC, p. 1823). Aux termes de l’art. 301 al. 1 CC, les père et mère déterminent les soins à donner à l’enfant, dirigent son éducation en vue de son bien et prennent les décisions nécessaires, sous réserve de sa propre capacité. Lorsque la loi exige le consentement du représentant légal et que les père et mère ont tous deux l’autorité parentale, le consentement des deux est nécessaire (Vez, op. cit., n. 3 ad art. 297 CC, p. 1823). S’il y a désaccord entre les parents et que ceux-ci sont mariés, ils peuvent, ensemble ou séparément, saisir le juge des mesures protectrices de l’union conjugale (art. 172 al. 1 CC), qui peut rappeler les époux à leurs devoirs et tenter de trouver un terrain d’entente (art. 172 al. 2 CC) ; si la conciliation échoue, le juge des mesures protectrices n’est pas habilité à prendre lui-même la décision concernant l’enfant. Il ne reste plus alors, si le développement du  mineur est menacé, que le recours aux mesures de protection de l’enfant conformément aux art. 307 ss CC (Vez, op. cit., n. 5 ad art. 297 CC, p. 1823 ; Schwenzer, Basler Kommentar, Zivilgesetzbuch I, 4 e éd., 2010, n. 3 ad art 297 CC, p. 1578 ; Hegnauer, Grundriss des Kindesrechts und des übrigen Verwandtschaftsrechts [ci-après : Hegnauer, Grundriss des Kindesrechts], 5 e éd., Berne 1999, n. 25.18, pp. 184-185). bb) Aux termes de l’art. 307 al. 1 CC, l’autorité tutélaire prend les mesures nécessaires pour protéger l’enfant si son développement est menacé et que les père et mère n’y remédient pas d’eux-mêmes ou sont hors d’état de le faire. L’art. 308 CC prévoit que, lorsque les circonstances l’exigent, l’autorité tutélaire nomme à l’enfant un curateur qui assiste les père et mère de ses conseils et de son appui dans le soin de l’enfant (al. 1) ; elle peut conférer au curateur certains pouvoirs tels que celui de représenter l’enfant pour faire valoir sa créance alimentaire et d’autres droits, ainsi que la surveillance des relations personnelles (al. 2) ; l’autorité parentale peut être limitée en conséquence (al. 3). La curatelle peut notamment être instituée – en cas de désaccord entre les parents et si le développement de l’enfant est menacé – pour la conclusion ou la résiliation d’un contrat, tel un contrat d’apprentissage, pour la poursuite d’une formation particulière, pour un traitement médical ou pour le consentement à une opération. Suivant les cas, l’autorité tutélaire peut même, au lieu de nommer un curateur aux fins de consentir à un acte déterminé qui apparaît nécessaire à la sauvegarde du bien de l’enfant, par exemple une opération, donner elle-même son consentement à l’acte en question (Hegnauer, Grundriss des Kindesrechts, n. 27.21, p. 210 ; ATF 86 II 206 c. 2). L'intérêt de l'enfant est la justification fondamentale de toutes les mesures des art. 307 ss CC. Dès lors, pour les autorités, le bien de l’enfant apparaît comme une condition préalable à leur intervention, à laquelle elles renonceront si elle ne correspond pas à ce bien ; la mise en péril du bien de l’enfant est ainsi une condition du prononcé de mesures de protection de l’enfant selon les art. 307 ss CC (Hegnauer, Droit suisse de la filiation, n. 26.04c, p. 173). Les mesures de protection de l'enfant sont en outre régies par les principes de proportionnalité et de subsidiarité (Message du Conseil fédéral, FF 1974 II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eux-mêmes, selon le principe de complémentarité (Hegnauer, Grundriss des Kindesrechts, n. 27.09 à 27.12, p. 206). cc) Selon l’art. 1 al. 2 LN (loi fédérale du 29 septembre 1952 sur l’acquisition et la perte de la nationalité suisse ; RS 141.0), dans sa nouvelle teneur selon le chiffre I de la loi fédérale du 3 octobre 2003 (Acquisition de la nationalité par des personnes d’origine suisse et émoluments), en vigueur depuis le 1 er janvier 2006  (RO 2005 5233 ; FF 2002 1815), l’enfant étranger mineur dont le père est suisse mais n’est pas marié avec la mère acquiert la nationalité suisse par l’établissement du rapport de filiation avec le père, comme s’il l’avait acquise à la naissance. A titre de disposition transitoire, l’art. 58c LN, introduit par le chiffre I de la loi fédérale du 3 octobre 2003 précitée, prévoit qu’un enfant de père suisse peut former une demande de naturalisation facilitée avant l’âge de vingt-deux ans si les conditions de l’art. 1 al. 2 LN sont réunies et s’il est né avant l’entrée en vigueur de la modification du 3 octobre 2003 (al. 1) ; après son vingt-deuxième anniversaire, il peut former une demande de naturalisation facilitée s’il a des liens étroits avec la Suisse (al. 2). c) En l’espèce, il n’apparaît pas que la sauvegarde de l’intérêt supérieur de l’enfant B.L.________ imposerait à l’autorité tutélaire, vu le désaccord sur ce point des deux parents détenteurs de l’autorité parentale, de prendre des mesures de protection afin d’engager immédiatement une procédure de naturalisation facilitée. En effet, l’enfant est de nationalité française, ce qui lui offre tous les droits liés à la citoyenneté d’un pays membre de l’Union européenne, et bénéficie d’une autorisation de séjour puisque sa mère vit en Suisse et y travaille. Sur un plan pratique, le fait de ne pas avoir la nationalité suisse ne suscite donc aucune difficulté. En outre, B.L.________ a expliqué à sa mère que, pour l’instant, il ne souhaitait pas se distinguer de ses frère et sœur, qui comme lui n’ont que la nationalité française. Il n’existe donc aucun motif de lui imposer à ce stade l’acquisition d’une deuxième nationalité. Même si l’acquisition de la nationalité suisse présente des avantages supplémentaires, elle peut aussi – suivant les cas – impliquer des inconvénients, liés notamment aux obligations militaires que l’enfant majeur devrait accomplir en France sous forme de service volontaire s’il ne souhaitait pas effectuer son service militaire obligatoire en Suisse (cf. la Convention du 16 novembre 1995 entre le Conseil fédéral suisse et le Gouvernement de la République française relative au service militaire des double-nationaux ; RS 0.141.134.92). Enfin, le fait de ne pas engager immédiatement une procédure de naturalisation facilitée n’entraîne aucun inconvénient à terme pour l’enfant, dans la mesure où, une fois majeur, il pourra décider lui-même, jusqu’à l’âge de vingt-deux ans, de demander le cas échéant la naturalisation facilitée sur la base de l’art. 58c LN. En tant qu’elle constate que le bien de l’enfant et son développement ne sont pas mis en danger par le fait qu’il n’a pas la nationalité suisse et que les conditions d’une intervention selon les art. 307 ss CC ne sont pas remplies, la décision attaquée ne prête par conséquent pas le flanc à la critique et doit être confirmée.</w:t>
      </w:r>
    </w:p>
    <w:p>
      <w:r>
        <w:rPr>
          <w:b/>
        </w:rPr>
        <w:t>E. 3</w:t>
      </w:r>
    </w:p>
    <w:p>
      <w:r>
        <w:t>En conclusion, le recours doit être rejeté et la décision entreprise confirmée. Les frais de deuxième instance du recourant sont arrêtés à 200 fr. (art. 236 al. 1 aTFJC [tarif du 4 décembre 1984 des frais judiciaires en matière civile], qui reste applicable pour toutes les procédures visées à l’art. 174 CDPJ conformément à l’art. 100 TFJC [tarif du 28 septembre 2010 des frais judiciaires civils ; RSV 270.11.5]). Obtenant gain de cause (art. 91 et 92 CPC-VD), l’intimée a droit à des dépens de deuxième instance, fixés à 1'000 francs. L’intimée a été mise au bénéfice de l’assistance judiciaire par décision du 5 mai 2011. Pour le cas où les dépens ne pourraient pas être obtenus de la partie adverse (art. 4 RAJ [règlement du 7 décembre 2010 sur l'assistance judiciaire en matière civile ; RSV 211.02.3]), l’indemnité d’office à verser par l’Etat à Me Manuela Ryter Godel, conseil de l’intimée, est arrêtée à 986 fr., montant comprenant un défraiement de 900 fr. basé sur un tarif horaire de 180 fr. hors TVA (art. 2 al. 1 let. a RAJ), des débours par 13 fr. et la TVA à 8% par 73 fr. (art. 2 al. 3 RAJ). Cette indemnité est fixée en considération du fait que le temps de sept heures que le conseil d’office expose avoir consacré à l’exécution du mandat – qui consistait essentiellement en la rédaction d’un mémoire d’intimée – est exagéré, cinq heures apparaissant suffisantes au regard des difficultés en fait et en droit que présentait la cause. La bénéficiaire de l'assistance judiciaire est, dans la mesure de l'art. 123 CPC, tenue au remboursement des frais judiciaires et de l'indemnité du conseil d'office mis à la charge de l'Etat. Par ces motifs, la Chambre des tutelles du Tribunal cantonal, statuant à huis clos, prononce : I. Le recours est rejeté. II. La décision est confirmée. III. Les frais judiciaires de deuxième instance du recourant sont arrêtés à 200 fr. (deux cents francs). IV. Le recourant M.________ doit verser à l'intimée A.L.________ la somme de 1'000 fr. (mille francs) à titre de dépens de deuxième instance. V. L'indemnité d'office de Me Manuela Ryter Godel, conseil de l'intimée, est arrêtée à 986 fr. (neuf cent huitante-six francs), TVA et débours compris. VI. Le bénéficiaire de l'assistance judiciaire est, dans la mesure de l'art. 123 CPC, tenu au remboursement des frais judiciaires et de l'indemnité du conseil d'office mis à la charge de l'Etat. VII. L'arrêt motivé est exécutoire. Le président :              La greffière : Du 25 août 2011 Le dispositif de l'arrêt qui précède est communiqué par écrit aux intéressés. La greffière : Du L'arrêt qui précède, dont la rédaction a été approuvée à huis clos, est notifié à : ‑ Me Mary Monnin-Zwahlen (pour M.________), ‑ Me Manuela Ryter Godel (pour A.L.________), et communiqué à : ‑ Justice de paix des districts du Jura-Nord vaudois et du Gros-de-Vaud,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