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951 vom 2. Juli 2010</w:t>
      </w:r>
    </w:p>
    <w:p>
      <w:r>
        <w:t>VD Tribunal cantonal, 2010-07-02, FR</w:t>
      </w:r>
    </w:p>
    <w:p>
      <w:r>
        <w:rPr>
          <w:b/>
        </w:rPr>
        <w:t xml:space="preserve">Quelle: </w:t>
      </w:r>
      <w:r>
        <w:t>https://mcp.opencaselaw.ch/entscheid/vd_findinfo_Arr_t___2010___951</w:t>
      </w:r>
    </w:p>
    <w:p>
      <w:r>
        <w:t>FR: VD_FINDINFO Arrêt / 2010 / 951 du 2 juillet 2010</w:t>
      </w:r>
    </w:p>
    <w:p>
      <w:r>
        <w:t>IT: VD_FINDINFO Arrêt / 2010 / 951 del 2 luglio 2010</w:t>
      </w:r>
    </w:p>
    <w:p>
      <w:pPr>
        <w:pStyle w:val="Heading2"/>
      </w:pPr>
      <w:r>
        <w:t>Regeste</w:t>
      </w:r>
    </w:p>
    <w:p>
      <w:r>
        <w:t>ÉVALUATION DE L'IMPOTENCE | 42 al. 1 LAI, 37 al. 2 RAI</w:t>
      </w:r>
    </w:p>
    <w:p>
      <w:pPr>
        <w:pStyle w:val="Heading2"/>
      </w:pPr>
      <w:r>
        <w:t>Erwägungen</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Est litigieuse en l'espèce la question du degré de l'allocation pour impotent octroyée au recourant.</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postérieures à la date déterminante de la décision litigieuse (cf. ATF 129 V 1, consid. 1.2; TF 8C_107/2009 du 18 janvier 2010, consid. 3).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ATF 116 V 246, consid. 1a et les références; cf. également TF 9C_216/2010 du 31 mars 2010, consid. 1).</w:t>
      </w:r>
    </w:p>
    <w:p>
      <w:r>
        <w:rPr>
          <w:b/>
        </w:rPr>
        <w:t>E. 4</w:t>
      </w:r>
    </w:p>
    <w:p>
      <w:r>
        <w:t>a)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(al. 3). b) Selon l'art. 37 RAI (règlement fédéral du 17 janvier 1961 sur l'assurance-invalidité,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(al. 2)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L’impotence est faible (al. 3)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Selon la jurisprudence (ATF 127 V 94, consid. 3c; TF 43/02 du 30 septembre 2002, consid. 1.1 et les références), sont déterminants les six actes ordinaires suivants: - se vêtir et se dévêtir; - se lever, s'asseoir, se coucher; - manger; - faire sa toilette (soins du corps); - aller aux W.-C.; - se déplacer à l'intérieur ou à l'extérieur, établir des contacts. c) Conformément à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ou - éviter un risque important de s'isoler durablement du monde extérieur (let. c). d) Selon l'art. 42 al. 4, 2 e phrase, LAI, la naissance du droit à l'allocation pour impotent est régie, à partir de l'âge d'un an, par l'art. 29 al. 1 LAI (c'est-à-dire actuellement, comme le précise une note en pied de page du texte légal, par l'art. 28 al. 1 let. b LAI). Le droit à l'allocation pour impotent ne prend donc naissance que lorsque l'assurée a présenté une impotence durant une année sans interruption notable (cf. art. 28 al. 1 let. b LAI; ATF 111 V 226, consid. 3a; ATF 105 V 66).</w:t>
      </w:r>
    </w:p>
    <w:p>
      <w:r>
        <w:rPr>
          <w:b/>
        </w:rPr>
        <w:t>E. 5</w:t>
      </w:r>
    </w:p>
    <w:p>
      <w:r>
        <w:t>a) En l'espèce, le recourant ne remplissant manifestement pas les conditions d'une impotence grave (art. 37 al. 1 RAI) – ce qu'il ne soutient du reste pas –, se pose la question d'une impotence moyenne (art. 37 al. 2 RAI). Une aide régulière et importante ayant été admise par l'office intimé, conformément aux conclusions de l'enquête "impotence" réalisée en mars 2007, pour deux actes ordinaires de la vie (pour la toilette ainsi que pour les déplacements et les contacts sociaux), on relèvera d'emblée qu'il n'est pas démontré ni rendu vraisemblable que le recourant nécessite une aide régulière et importante pour la plupart des actes ordinaires de la vie au sens de l'art. 37 al. 2 let. a RAI. En particulier, on ne voit pas que le recourant, qui peut se lever sans problème d'un fauteuil, ne puisse être renvoyé à renoncer à un matelas au sol au profit d'un lit normal qui lui permettrait de pouvoir s'en extraire sans aide, en deux temps, soit en s'asseyant avant de le quitter. A cet égard, il peut être renvoyé à l'obligation de réduire le dommage. En vertu de cette obligation, la personne assurée est en effet tenue de prendre les mesures appropriées et celles que l’on peut raisonnablement attendre d’elle en vue du maintien ou du recouvrement de son indépendance. Si elle omet de le faire, on ne pourra tenir compte de l’aide dont elle a alors besoin lors de l’évaluation de l’impotence (cf. Circulaire sur l'invalidité et l'impotence dans l'assurance-invalidité [CIIAI] établie par l'Office fédéral des assurances sociales [OFAS], dans sa version valable à partir du 1 er janvier 2008, ch. 8085). De même, on ne voit pas que des problèmes respiratoires ou une vue amoindrie fassent obstacle à l'action de se vêtir (respectivement de se dévêtir), fût-ce de manière ralentie, et nécessite une aide chez une personne disposant de la mobilité de ses membres. Du reste, sur ce point, l'intéressé peut également être renvoyé à l'obligation de réduire le dommage en ayant recours, au besoin, à des vêtements adaptés à son handicap (cf. CIIAI, ch. 8085 précité). Cela étant, le recourant ne démontre pas non plus, ni même n'allègue, que son état requiert une surveillance qui soit permanente au sens de l'art. 37 al. 2 let. b RAI. Seule se pose dès lors la question de savoir s'il peut se prévaloir du cas d'application de la lettre c de cette même disposition, à savoir la nécessité d'un accompagnement durable pour faire face aux nécessités de la vie au sens de l'art. 38 RAI, ce qu'il soutient implicitement en faisant valoir qu'il ne peut assumer seul, sans l'aide de son épouse, ni les tâches ménagères, ni l'administration du traitement médicamenteux auquel il est astreint. b)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9C_1056/2009 du 10 mai 2010, consid. 2).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9C_1056/2009 du 10 mai 2010, consid. 4.2 et les références). Enfin,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Dans le cas particulier, l'aide pour les actes relevant de l'hygiène personnelle ainsi que pour les déplacements à l'extérieur et pour les contacts sociaux ayant été admise au titre des actes ordinaires de la vie, elle ne peut être retenue à nouveau au titre de l'accompagnement nécessaire, conformément à la circulaire de l'OFAS et à la jurisprudence rappelées ci-dessus. Seule subsiste donc l'hypothèse de l'art. 38 al. 1 let. a RAI (correspondant à la première hypothèse du ch. 8049 CIIAI), soit celle de ne pouvoir vivre de manière indépendante sans l'accompagnement d'un tiers. A cet égard, le ch. 8050 CIIAI prévoit que l'accompagnement doit permettre à la personne de gérer elle-même sa vie, et intervient lorsque la personne nécessite de l'aide pour au moins une des trois situations suivantes : structurer la journée; faire face aux situations qui se présentent tous les jours (p. ex. problèmes de voisinage, questions de santé, d'alimentation et d'hygiène, activités administratives simples); ou encore tenir son ménage (instructions et surveillance/contrôle). Le recourant ne soutient pas qu'il a besoin d'aide pour structurer sa journée, respectivement que la structure de celle-ci lui échappe ou pose problème. En ce sens, il peut être suivi dans la mesure où les troubles de l'orientation mentionnés dans l'enquête "impotence" effectuée par l'OAI tiennent essentiellement à des difficultés de déplacement et à la perte de contact (isolement), dont il a déjà été tenu compte au titre des actes ordinaires de la vie et qui ne peuvent dès lors, comme déjà exposé, être à nouveau pris en considération au titre de l'accompagnement nécessaire. Le recourant se prévaut par contre de l'aide au ménage et aux soins. S'agissant des soins, l'enquête précitée retient certes une aide de l'épouse consistant à préparer les médicaments (pilules) dans un semainier et à rappeler quotidiennement à l'intéressé de les prendre. On ne saurait toutefois considérer que cet accompagnement, qui procède d'une tâche somme toute fort simple, sans acte d'ordre médical, nécessite un accompagnement d'au moins deux heures par semaine au sens de l'art. 38 al. 3, 1 ère phrase, RAI, de sorte qu'il ne répond pas à la condition du caractère "régulièrement nécessaire" fixée par cette disposition. Quant à l'aide au ménage, dès lors qu'il n'y a plus à prendre en compte l'aide aux déplacements (ainsi pour les commissions à l'extérieur) telle que déjà retenue au titre des actes ordinaires de la vie, on ne voit pas que le recourant, âgé de moins de 60 ans, ne puisse accomplir les tâches ménagères de base, cela en raison de ses difficultés respiratoires (dyspnées), de sa vision amoindrie d'un œil ou d'occasionnels vertiges. Ces derniers n'interviennent au demeurant, selon l'enquête, que lors de déplacements à l'occasion desquels l'intéressé se sent désécurisé, en particulier "dès qu'il doit s'éloigner de son quartier", ce qui ne paraît être le cas qu'à l'extérieur, et alors même que l'aide sur ce point est déjà reconnue au titre des actes ordinaires de la vie et ne peut donc plus être prise en compte au titre de l'accompagnement. Des considérants qui précèdent, il résulte que les conditions de la prise en compte d'un accompagnement durable, nécessaire et régulier, au sens de l'art. 38 RAI comme du ch. 8050 CIIAI, ne sont pas réalisées dans le cas d'espèce, contrairement à celles du besoin d'une aide régulière et importante pour deux actes ordinaires de la vie à tout le moins, comme retenu par l'office intimé. Celui-ci n'a donc pas enfreint le droit fédéral en qualifiant l'impotence de faible, et non de moyenne, au sens de l'art. 37 RAI.</w:t>
      </w:r>
    </w:p>
    <w:p>
      <w:r>
        <w:rPr>
          <w:b/>
        </w:rPr>
        <w:t>E. 6</w:t>
      </w:r>
    </w:p>
    <w:p>
      <w:r>
        <w:t>En définitive, le recours doit ainsi être rejeté et la décision attaquée confirmée, sans suite de frais compte tenu de la situation précaire du recourant (art. 50 LPA-VD), ni allocation de dépens (art. 61 let. g LPGA;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