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900 vom 2. Juni 2010</w:t>
      </w:r>
    </w:p>
    <w:p>
      <w:r>
        <w:t>VD Tribunal cantonal, 2010-06-02, FR</w:t>
      </w:r>
    </w:p>
    <w:p>
      <w:r>
        <w:rPr>
          <w:b/>
        </w:rPr>
        <w:t xml:space="preserve">Quelle: </w:t>
      </w:r>
      <w:r>
        <w:t>https://mcp.opencaselaw.ch/entscheid/vd_findinfo_Arr_t___2010___900</w:t>
      </w:r>
    </w:p>
    <w:p>
      <w:r>
        <w:t>FR: VD_FINDINFO Arrêt / 2010 / 900 du 2 juin 2010</w:t>
      </w:r>
    </w:p>
    <w:p>
      <w:r>
        <w:t>IT: VD_FINDINFO Arrêt / 2010 / 900 del 2 giugno 2010</w:t>
      </w:r>
    </w:p>
    <w:p>
      <w:pPr>
        <w:pStyle w:val="Heading2"/>
      </w:pPr>
      <w:r>
        <w:t>Regeste</w:t>
      </w:r>
    </w:p>
    <w:p>
      <w:r>
        <w:t>PRIVATION DE LIBERTÉ À DES FINS D'ASSISTANCE, RECOURANT, TUTELLE | 369 CC, 397a al. 1 CC, 380 CPC, 393 CPC, 398a CPC, 398d CPC</w:t>
      </w:r>
    </w:p>
    <w:p>
      <w:pPr>
        <w:pStyle w:val="Heading2"/>
      </w:pPr>
      <w:r>
        <w:t>Erwägungen</w:t>
      </w:r>
    </w:p>
    <w:p>
      <w:r>
        <w:rPr>
          <w:b/>
        </w:rPr>
        <w:t>E. 1</w:t>
      </w:r>
    </w:p>
    <w:p>
      <w:r>
        <w:t>L'appel et le recours sont dirigés contre la décision de la justice de paix prononçant l'interdiction civile à forme de l'art. 369 CC (Code civil suisse du 10 décembre 1907, RS 210) d'O.________ et ordonnant un placement à des fins d'assistance en application des art. 397a CC et 398a CPC (Code de procédure civile vaudoise du 14 décembre 1966, RSV 270.11). Il convient d'examiner successivement l'appel contre l'interdiction civile puis le recours contre la privation de liberté à des fins d'assistance. A. Appel :</w:t>
      </w:r>
    </w:p>
    <w:p>
      <w:r>
        <w:rPr>
          <w:b/>
        </w:rPr>
        <w:t>E. 2</w:t>
      </w:r>
    </w:p>
    <w:p>
      <w:r>
        <w:t>LOJV, loi vaudoise d'organisation judiciaire du 12 décembre 1979, RSV 173.01), dans les dix jours dès leur notification. L'appel est ouvert au dénoncé, au dénonçant ainsi qu'au Ministère public. L'appel reporte la cause en son entier, c'est-à-dire en fait et en droit, devant la Chambre des tutelles. L'autorité de recours n'est pas liée par l'état de fait arrêté par la juridiction inférieure, ni par l'appréciation des témoignages ou par les moyens de preuve offerts par les parties; elle peut procéder à toutes mesures d'instruction qu'elle juge utiles (art. 393 al. 3 CPC; Zurbuchen, La procédure d'interdiction, thèse, Lausanne 1991, pp. 169 et 170; Poudret/Haldy/Tappy, Procédure civile vaudoise, 3 e éd., Lausanne 2002, note ad art. 393 CPC, p. 599; CTUT, 8 avril 2008, n° 80; CTUT, 23 juin 2005, n° 94). b) Interjeté en temps utile par la personne interdite, le présent appel est recevable à la forme. Il en va de même de l'écriture complémentaire déposée dans le délai imparti .</w:t>
      </w:r>
    </w:p>
    <w:p>
      <w:r>
        <w:rPr>
          <w:b/>
        </w:rPr>
        <w:t>E. 3</w:t>
      </w:r>
    </w:p>
    <w:p>
      <w:r>
        <w:t>En matière non contentieuse, réglée par le droit cantonal (art. 373 CC), la Chambre des tutelles peut examiner d'office si les règles essentielles de la procédure d'interdiction, dont la violation pourrait entraîner l'annulation du jugement attaqué, ont été respectées (Poudret/Haldy/Tappy, op. cit., n. 3 ad art. 492 CPC, p. 763; CTUT, 13 juillet 2004, n° 125). Dans le canton de Vaud, la procédure en matière d'interdiction est régie par les art. 379 ss CPC, sous réserve des règles de procédure fédérale définies aux art. 373 à 375 CC. a) Selon l'art. 379 al. 1 CPC, les dénonciations à fin d'interdiction émanant d'une autorité administrative ou judiciaire et les demandes d'interdiction formées par les particuliers sont adressées à la justice de paix du domicile de la personne à interdire. Cette règle correspond à la norme fédérale régissant le for tutélaire (art. 376 al. 1 CC). Aux termes de l'art. 380 CPC, le juge de paix procède, avec l'assistance du greffier, à une enquête afin de préciser et de vérifier les faits qui peuvent provoquer l'interdiction. A ce titre, il recueille toutes les preuves utiles (al. 1). Il entend la partie dénonçante et le dénoncé qui peuvent requérir des mesures d'instruction complémentaires. Il entend toute personne dont le témoignage lui paraît utile. Les dépositions sont résumées au procès-verbal de l'audience dans ce qu'elles ont d'utile à retenir (al. 2). Le juge de paix sollicite l'avis de la municipalité du domicile du dénoncé (al. 3). Si l'interdiction est demandée pour cause de maladie mentale ou de faiblesse d'esprit, le juge ordonne, après avoir, sauf exception, entendu le dénoncé, une expertise médicale, confiée à un expert qui entend le dénoncé. Le juge n'entend pas le dénoncé lorsque, fondé sur l'expertise médicale, il tient l'audition pour inadmissible ou manifestement inutile. Ce rapport est soumis au Conseil de santé (al. 5). L'enquête faite par le juge de paix est communiquée au Ministère public, qui peut requérir qu'elle soit complétée; le Ministère public donne son préavis sur la décision à prendre (art. 381 al. 1 et 2 CPC). L'enquête terminée, le juge de paix la soumet à la justice de paix qui peut ordonner un complément d'enquête. Dans ce cas, l'art. 381 CPC est applicable (art. 382 al. 1 CPC). La procédure devant la justice de paix est régie par l'art. 382 CPC. Selon cette disposition, la justice de paix entend le dénoncé, l'art. 380 al. 5 CPC étant réservé (al. 2). Si la justice de paix estime cette mesure justifiée, elle rend un prononcé d'interdiction et nomme le tuteur ou place l'interdit sous autorité parentale en conformité à l'art. 385 al. 3 CC (al. 3).  Si le dénoncé consent à la mesure, il en fait mention au procès-verbal (al. 4). La décision de la justice de paix est motivée (al. 5). b) En l'espèce, O.________ était domicilié à Lausanne lorsque l'autorité tutélaire a ordonné l'ouverture d'une enquête à son encontre, de sorte que la Justice de paix du district de Lausanne était compétente pour décider de l'institution éventuelle d'une tutelle. Le juge de paix a ouvert une enquête en mars 2009. Il a ordonné une expertise médicale et a soumis le rapport d'expertise psychiatrique des docteurs L.________ et K.________ du 5 novembre 2009 au Conseil de santé, qui a déclaré ne pas avoir d'observation à formuler par lettre du 23 novembre 2009. Le juge de paix a ensuite transmis le dossier au Ministère public qui a préavisé en faveur de l'interdiction civile d'O.________ le 26 novembre 2009. Au terme de l'enquête, le juge de paix a déféré la cause à la justice de paix qui a procédé à l'audition de la dénoncée lors de sa séance du 1 er décembre 2009 avant de statuer. Le droit d'être entendue d'O.________ a ainsi été respecté. Il s'ensuit que la décision attaquée est formellement correcte et qu'elle peut être examinée quant au fond.</w:t>
      </w:r>
    </w:p>
    <w:p>
      <w:r>
        <w:rPr>
          <w:b/>
        </w:rPr>
        <w:t>E. 4</w:t>
      </w:r>
    </w:p>
    <w:p>
      <w:r>
        <w:t>L'interdiction d'O.________ a été prononcée en application de l'art. 369 CC. a) A teneur de cette disposition, sera pourvu d'un tuteur tout majeur qui, pour cause de maladie mentale ou de faiblesse d'esprit, est incapable de gérer ses affaires, ne peut se passer de soins et secours permanents ou menace la sécurité d'autrui. Selon la jurisprudence (ATF 85 II 457, JT 1960 I 226; ATF 62 II 263, JT 1937 I 164), l'art. 369 CC n'exige nullement que l'individu soit atteint d'une maladie mentale déterminée, ni que son intellect soit affecté de telle manière que son état général corresponde à ce que l'on appelle communément la faiblesse d'esprit. L'interdiction est une mesure de protection qui doit être prise aussitôt qu'un individu est dans un état mental anormal, quelle que soit la nature de l'affection, qui ne lui permet pas de gérer convenablement ses affaires ou qui implique une menace pour sa sécurité ou celle d'autrui (Deschenaux/Steinauer, Personnes physiques et tutelle, 4 e éd., Berne 2001, n. 122a, p. 38 et l'arrêt cité). Pour fonder une interdiction sur l'art. 369 CC, il ne suffit donc pas que la personne concernée soit dans un état mental anormal; il faut encore que cet état (cause de l'interdiction) engendre un besoin spécial de protection (condition d'interdiction), à savoir, selon la disposition précitée, l'incapacité durable de s'occuper convenablement de ses affaires, le besoin de soins et de secours permanents ou la menace pour la sécurité d'autrui (Deschenaux/Steinauer, op. cit., nos 116 ss, pp. 36 ss). Les conditions du besoin spécial de protection susmentionnées sont alternatives (TF 5C.262/2002 du 6 mars 2003, in FamPra.ch 2003, p. 737). L'incapacité à gérer ses affaires concerne avant tout les affaires de nature patrimoniale, qui sont quantitativement et/ou qualitativement importantes pour l'intéressé et dont le défaut de gestion porterait atteinte aux conditions d'existence de l'intéressé. Quant au besoin de soins et de secours permanents, il vise avant tout les affaires d'ordre personnel (TF 5C.262/2002 du</w:t>
      </w:r>
    </w:p>
    <w:p>
      <w:r>
        <w:rPr>
          <w:b/>
        </w:rPr>
        <w:t>E. 6</w:t>
      </w:r>
    </w:p>
    <w:p>
      <w:r>
        <w:t>a) La procédure en matière de privation de liberté à des fins d'assistance est déterminée par les cantons (art. 397e al. 1 CC), sous réserve de certaines règles de procédure fédérale définies aux art. 397c à f CC. Dans le canton de Vaud, la procédure est régie par les art. 398a ss CPC. L'art. 397f al. 3 CC prescrit en particulier au juge de première instance, soit à la justice de paix du domicile de l'intéressé (art. 398a al. 1 et 2 CPC et 3 ch. 4 LVCC, loi d'introduction dans le canton de Vaud du Code civil suisse du 30 novembre 1910, RSV 211.01; BGC 1980 automne, p. 96), d'entendre ce dernier. Conformément à la jurisprudence (ATF 115 II 129 c. 6b, JT 1992 I 330), l'audition orale prescrite par l'art. 397f al. 3 CC et, dans le canton de Vaud, par l'art. 398a al. 2 CPC, doit être faite par l'ensemble du tribunal qui connaît du cas, car elle constitue non seulement un droit inhérent à la défense de l'intéressé, mais également un moyen d'élucider les faits. En l'espèce, O.________ étant domiciliée à Lausanne au jour de l'ouverture de l'enquête, la Justice de paix du district de Lausanne était compétente pour prendre la décision querellée. Elle a procédé in corpore à l'audition de l'intéressée lors de sa séance du 1 er décembre 2009, de sorte que son droit d'être entendue a été respecté. b) Les art. 397e ch. 5 CC et 398a al. 5 CPC exigent le concours d'experts lorsque le placement est motivé par l'état de santé de l'intéressé (FF 1977 III 33; Katz, Privation de liberté à des fins d'assistance, thèse, Lausanne 1983, pp. 94 et 95; JT 1987 III 12). Aucune exigence précise n'est formulée quant à la personne de l'expert (FF 1977 III, p. 37; Schnyder, Die fürsorgerische Freiheitsentziehung, in RDT 1979, pp. 19 ss); le Tribunal fédéral a toutefois précisé que l'expert devait être qualifié professionnellement et indépendant et qu'il ne devait pas s'être déjà prononcé sur la maladie de l'intéressé dans une même procédure (ATF 128 III 12 c. 4a, JT 2002 I 474; ATF 119 II 319; ATF 118 II 249 c. 2a, JT 1995 I 51). La loi n'exige pas que le médecin consulté soit étranger à l'établissement de placement (Poudret/Haldy/Tappy, op. cit., n. 2 ad art. 398a CPC, p. 606 et réf. citées). Dans le cas présent, la décision attaquée se fonde sur le rapport d'expertise du 5 novembre 2009 des docteurs L.________ et K.________, respectivement cheffe de clinique et médecin assistant au Centre d'expertise du Département de psychiatrie du CHUV. Les auteurs de ce rapport étant spécialistes en psychiatrie et ne s'étant pas déjà prononcés dans la même procédure sur l'état de santé de l'intéressée, ils remplissent les exigences posées par la jurisprudence pour assumer la fonction d'experts. La décision entreprise est donc formellement correcte et peut être examinée sur le fond.</w:t>
      </w:r>
    </w:p>
    <w:p>
      <w:r>
        <w:rPr>
          <w:b/>
        </w:rPr>
        <w:t>E. 7</w:t>
      </w:r>
    </w:p>
    <w:p>
      <w:r>
        <w:t>O.________ conteste la mesure de privation de liberté à des fins d'assistance d'une durée indéterminée prononcée à son encontre. a) Selon l'art. 397a al. 1 CC, une personne majeure ou interdite peut être placée ou retenue dans un établissement approprié lorsque, en raison de maladie mentale, de faiblesse d'esprit, d'alcoolisme, de toxicomanie ou de grave état d'abandon, l'assistance personnelle nécessaire ne peut lui être fournie d'une autre manière. La privation de liberté à des fins d'assistance est une mesure tutélaire spéciale qui prend place dans le Code civil à côté de la tutelle proprement dite (Deschenaux/Steinauer, op. cit., n. 1157, p. 433); comme en matière d'interdiction et de mise sous conseil légal, il convient de distinguer la cause de la privation de liberté de la condition de cette mesure (Deschenaux/Steinauer, op. cit., n. 1163, p. 435). La privation de liberté ne peut être décidée que si, en raison de l'une des causes mentionnées de manière exhaustive à l'art. 397a al. 1 CC (TF 5A_564/2008 du 1 er octobre 2008; ATF 134 III 289 c. 4; FF 1977 III p. 28 et 29), l'intéressé a besoin d'une assistance personnelle, c'est-à-dire présente un état qui exige qu'une aide lui soit fournie, que des soins lui soient donnés et qu'une protection au sens étroit lui soit assurée (Deschenaux/Steinauer, op. cit., nos 1169 ss, p. 437). Il faut encore que la protection nécessaire ne puisse être réalisée autrement que par une mesure de privation de liberté, c'est-à-dire que d'autres mesures, telles que l'aide de l'entourage, l'aide sociale ou un traitement ambulatoire, aient été ou paraissent d'emblée inefficaces (Deschenaux/Steinauer, op. cit., nos 1171 ss, pp. 437 et 438). Il s'agit là du principe de proportionnalité. Celui-ci exige que les actes étatiques soient propres à atteindre le but visé, justifié par un intérêt public prépondérant, et qu'ils soient à la fois nécessaires et raisonnables pour les personnes concernées. Une mesure restrictive est notamment disproportionnée si une mesure plus douce est à même de produire le résultat escompté. L'atteinte, dans ses aspects matériel, spatial et temporel, ne doit pas être plus rigoureuse que nécessaire (ATF 126 I 112 c. 5; TF 5A_564/2008 du 1 er octobre 2008). b) En l'espèce, il résulte du rapport d'expertise du 5 novembre 2009 des docteurs L.________ et K.________ qu'O.________ souffre d'une schizophrénie paranoïde, de troubles dysexécutifs sévères ainsi que de troubles de la compréhension, de raisonnement et de la mémoire antégrade. Il ne fait dès lors aucun doute que la recourante souffre de troubles mentaux relativement importants et qu'une des causes de privation de liberté à des fins d'assistance prévues par l'art. 397a al. 1 CC est réalisée. Il résulte également du rapport d'expertise qu'elle a besoin de soins médicaux réguliers et qu'elle ne peut plus recevoir l'assistance personnelle nécessaire ambulatoirement. Son placement est donc devenu indispensable, plus aucune autre mesure n'étant suffisante. La question de savoir s'il est possible de trouver un établissement médico-social au sein duquel O.________ se sente mieux n'est pas déterminante s'agissant du principe même de la privation de liberté à des fins d'assistance. Cette dernière a besoin de soins qui ne peuvent être administrés que dans un cadre fermé en raison de son anosognosie. L'aide ne peut lui être fournie par un entourage qui n'existe pas ni par un réseau de soins qui a atteint ses limites, ce que la situation de la recourante à fin 2008 et à fin 2009 a démontré. Il résulte de ce qui précède que c'est à bon droit que la justice de paix a ordonné le placement à des fins d'assistance d'O.________, placement qui s'avère indispensable et proportionné. Le recours de cette dernière doit donc être rejeté.</w:t>
      </w:r>
    </w:p>
    <w:p>
      <w:r>
        <w:rPr>
          <w:b/>
        </w:rPr>
        <w:t>E. 8</w:t>
      </w:r>
    </w:p>
    <w:p>
      <w:r>
        <w:t>En définitive, l'appel et le recours interjetés par O.________ doivent être rejetés et le jugement entrepris confirmé. Le présent arrêt peut être rendu sans frais (art. 236 al. 2 TFJC, tarif des frais judiciaires en matière civile du 4 décembre 1984, RSV 270.11.5). Par ces motifs, la Chambre des tutelles du Tribunal cantonal, statuant à huis clos, prononce : I. L'appel dirigé contre l'interdiction est rejeté. II. Le recours dirigé contre la privation de liberté à des fins d'assistance est rejeté. III. Le jugement est confirmé. IV. L'arrêt est rendu sans frais. Le président :              La greffière : Du 2 juin 2010 Le dispositif de l'arrêt qui précède est communiqué par écrit aux intéressés. La greffière : Du L'arrêt qui précède, dont la rédaction a été approuvée à huis clos, est notifié à : ‑ Me Aline Bonard (pour O.________), ‑ Mme la Tutrice générale, et communiqué à : ‑ Justice de paix des districts de Lausanne et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