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725 vom 4. August 2010</w:t>
      </w:r>
    </w:p>
    <w:p>
      <w:r>
        <w:t>VD Tribunal cantonal, 2010-08-04, FR</w:t>
      </w:r>
    </w:p>
    <w:p>
      <w:r>
        <w:rPr>
          <w:b/>
        </w:rPr>
        <w:t xml:space="preserve">Quelle: </w:t>
      </w:r>
      <w:r>
        <w:t>https://mcp.opencaselaw.ch/entscheid/vd_findinfo_Arr_t___2010___725</w:t>
      </w:r>
    </w:p>
    <w:p>
      <w:r>
        <w:t>FR: VD_FINDINFO Arrêt / 2010 / 725 du 4 août 2010</w:t>
      </w:r>
    </w:p>
    <w:p>
      <w:r>
        <w:t>IT: VD_FINDINFO Arrêt / 2010 / 725 del 4 agosto 2010</w:t>
      </w:r>
    </w:p>
    <w:p>
      <w:pPr>
        <w:pStyle w:val="Heading2"/>
      </w:pPr>
      <w:r>
        <w:t>Regeste</w:t>
      </w:r>
    </w:p>
    <w:p>
      <w:r>
        <w:t>RENTE D'INVALIDITÉ, MÉTHODE MIXTE D'ÉVALUATION | 28a LAI, 4 al. 1 LAI, 16 LPGA, 8 LPGA</w:t>
      </w:r>
    </w:p>
    <w:p>
      <w:pPr>
        <w:pStyle w:val="Heading2"/>
      </w:pPr>
      <w:r>
        <w:t>Erwägungen</w:t>
      </w:r>
    </w:p>
    <w:p>
      <w:r>
        <w:rPr>
          <w:b/>
        </w:rPr>
        <w:t>E. 4</w:t>
      </w:r>
    </w:p>
    <w:p>
      <w:r>
        <w:t>août 2010 __________________ Présidence de               Mme Thalmann Juges :              MM. Schmutz et Bonard, assesseurs Greffier : M.              Simon ***** Cause pendante entre : T.________ , à La Sarraz, recourante, représentée par Me Philippe Graf, avocat à la Fédération suisse pour l'intégration des handicapés. et Office de l'assurance-invalidité pour le canton de Vaud , à Vevey, intimé. _______________ Art.</w:t>
      </w:r>
    </w:p>
    <w:p>
      <w:r>
        <w:rPr>
          <w:b/>
        </w:rPr>
        <w:t>E. 8</w:t>
      </w:r>
    </w:p>
    <w:p>
      <w:r>
        <w:t>janvier 2008 c. 4.2). b)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(actuellement: art. 28a al. 3 LAI). Ainsi, il faut évaluer d'une part l'invalidité dans les travaux habituels par comparaison des activités (art. 27 RAI [règlement du 17 janvier 1961 sur l'assurance-invalidité, RS 831.201])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 3.3; TFA I 36/05 du 19 avril 2006 c. 2.2). c) Aux termes de l'art. 17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 3.5; 113 V 273 c. 1a; 112 V 371 c. 2b). Savoir si un tel changement s'est produit doit être tranché en comparant les faits tels qu'ils se présentaient lors de la décision initiale de rente et les circonstances régnant à l'époque de la décision litigieuse (ATF 130 V 343 c. 3.5.2; 125 V 369 c. 2; TF 9C_307/2008 du 4 mars 2009 c. 3 et les références citées).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 5 et les références citées). Il n'y a pas matière à révision lorsque les circonstances sont demeurées inchangées et que le motif de la suppression ou de la diminution de la rente réside uniquement dans une nouvelle appréciation du cas (TFA I 8/04 du 12 octobre 2005 c. 2.1), respectivement une appréciation différente d'un même état de fait (TFA I 419/03 du 22 octobre 2003 c. 4). Un motif de révision au sens de l'art. 17 LPGA (ou de l'ancien art. 41 LAI) doit clairement ressortir du dossier (TFA I 559/02 du 31 janvier 2003, c. 3.2 et les arrêts cités). La réglementation sur la révision ne saurait en effet constituer un fondement juridique à un réexamen sans condition du droit à la rente (TF I 111/07 du 17 décembre 2007 et les références citées). d) Une révision du droit à la rente d'invalidité au sens de l'art. 17 LPGA peut se justifier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478 c. 1b/aa; 113 V 275 c. 1a; TFA I 276/05 du 24 avril 2006 c. 2.2; TFA I 707/04 du 2 août 2005 c. 3.2.2). Tant lors de l'examen initial du droit à la rente qu'à l'occasion d'une révision de celle-ci (art. 17 LPGA), il faut donc examiner quelle méthode d'évaluation de l'invalidité il convient d'appliquer, soit la méthode générale de comparaison des revenus, la méthode spécifique ou la méthode mixte (ATF 125 V 146 c. 2c et les références citées; TFA I 276/05 du 24 avril 2006 c. 2.3; TFA I 707/04 du 2 août 2005 c. 3.2.2). Une modification de la situation économique d'un assuré, alors que son état de santé ne s'est pas modifié de façon significative, ayant entraîné l'application de la méthode mixte – au lieu du critère de l'empêchement d'accomplir ses travaux habituels tel que retenu dans la décision initiale d'octroi de rente – permet ainsi une révision du droit à la rente (TF I 1057/06 du 29 novembre 2007). 4. Dans la décision attaquée, l’intimé a retenu le statut de 20% ménagère et 80% active et appliqué dès lors la méthode mixte, ce que conteste la recourante. a) Le choix de la méthode d'évaluation de l'invalidité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 2c; 117 V 194 c. 3b et les arrêts cités; TFA I 257/04 du 17 mars 2005 c. 3.2).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 3.3; 125 V 150 c. 2c; 117 V 194 c. 3b et les références citées; TFA I 36/05 du 19 avril 2006 c. 2.2; TFA I 257/04 du 17 mars 2005 c. 4.1; voir aussi TFA I 257/04 du 17 mars 2005 c. 3.2). b) En l’espèce, dans le cadre de sa demande de rente, en remplissant le formulaire 531 bis le 26 juillet 2003, la recourante avait certes déclaré que, si elle était en bonne santé, elle aurait travaillé, à un taux entre 50 % et 80 %. Toutefois, le rapport initial établi par l’OAI le 24 juin 2004, qui faisait suite à une rencontre avec la recourante le 23 avril 2004, indique que celle-ci, sans atteinte à sa santé, aurait également dû mettre un terme prématuré à sa mission prévue pour un couple, serait revenue en Suisse au décès de son mari en juin 2003, et se serait alors dirigée vers la reprise de son activité d’enseignante à plein temps. Il résulte en outre du questionnaire à l’employeur, comme du rapport précité, que la recourante travaillait à 100% dans son activité de missionnaire. Enfin, la recourante n’avait aucune personne dont elle devait s’occuper. Compte tenu de ces circonstances, c’est à juste titre que l’OAI a retenu le statut de personne active à 100%. c) Dans le cadre de la révision du droit à la rente, la recourante, remariée depuis 2006, a à nouveau rempli le 24 avril 2007 le formulaire 531 bis et indiqué qu’en bonne santé, elle travaillerait à l’extérieur en plus de la tenue de son ménage, en qualité d’enseignante spécialisée, à 80 %, en raison d’intérêt personnel et de nécessité financière. Lors de l’enquête économique sur le ménage, elle a réitéré qu’elle aurait travaillé dans son métier d’enseignante spécialisée à 80 %. L’enquêtrice mentionne d’ailleurs que la recourante a indiqué ce taux sans hésitation. Au vu de la modification de la situation familiale de la recourante, du revenu de son époux ainsi que de ses déclarations claires et réitérées quant à son taux de travail si elle était en bonne santé, l’appréciation de l’OAI quant au statut d’active à 80% et de ménagère à 100% n’apparaît pas critiquable et doit être confirmée. 5. a) Sous l'angle du droit à la protection de la bonne foi et de l'obligation d'informer, la recourante soutient que l'OAI, sur la base du questionnaire rempli par l'assurée le 24 avril 2007, devait en substance considérer que l'intéressée aurait travaillé à 80 % depuis juillet 2003 si elle avait été en bonne santé. b)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Le devoir de conseil de l'assureur social au sens de l'art. 27 al. 2 LPGA comprend l'obligation d'attirer l'attention de la personne intéressée sur le fait que son comportement pourrait mettre en péril la réalisation de l'une des conditions du droit aux prestations (ATF 131 V 472 c.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(TF K 7/06 du 12 janvier 2007 c. 3.3, in SVR 2007 KV no 14 p. 53 et la référence). Son contenu dépend entièrement de la situation concrète dans laquelle se trouve l'assuré, telle qu'elle est reconnaissable pour l'administration.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[Constitution fédérale du 18 avril 1999, RS 101] (ATF 131 V 472 c. 5). D'après la jurisprudence en matière de protection du droit à la bonne foi,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lI 627 c.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 5 p. 480; TF 8C_66/2009 du 7 septembre 2009 c. 8.4). Le droit à la protection de la bonne foi permet en outre au citoyen d'exiger que l'autorité respecte ses promesses et qu'elle évite de se contredire (TF 9C_695/2008 du 4 février 2009 c. 3.1 et les références citées).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 7.2). La reconnaissance d'un devoir de conseils au sens de cette disposition dépend ainsi du point de savoir si l'assureur social disposait, selon la situation concrète telle qu'elle se présentait à lui, d'indices suffisants qui lui imposaient au regard du principe de la bonne foi de renseigner l'intéressé (TF 8C_66/2009 du 7 septembre 2009). c) En adressant à l'assurée le formulaire 531 bis, que celle-ci a rempli le 24 avril 2007, on ne voit pas en quoi l'intimé aurait manqué à son obligation d'informer cette dernière quant aux conséquences qu'il entendait en tirer, ni en quoi il aurait agi de façon préjudiciable et contraire à la bonne foi aux intérêts de la recourante. L'intimé n'a par ailleurs aucunement fait comprendre à l'assurée qu'il allait, comme lors de la décision d'octroi de rente, la considérer comme une personne active à 100 %. Au contraire, en recevant le formulaire 531 bis, l'assurée devait s'attendre à ce que la méthode d'évaluation de l'invalidité pût le cas échéant être modifiée. En ce sens, l'intimé ne saurait avoir consenti une "assurance donnée" à l'assurée (TF 2C_330/2008 du 29 août 2008 c. 4.2 et les références citées). En outre, le fait que l'OAI eût retenu le statut d'active à 100 % lors de la demande de rente ne signifiait pas que ce même statut allait nécessairement être également retenu lors de la procédure de révision du droit à la rente. Dans ces conditions, on ne voit pas en quoi l'intimé aurait manqué à son obligation d'informer l'assurée, respectivement l'aurait mal informée, de sorte qu'il ne saurait y avoir de violation du droit à la protection de la bonne foi, respectivement de l'obligation d'informer au sens de l'art. 27 LPGA. 6. Il convient d'examiner le taux de capacité de travail de la recourante. a) Dans son rapport médical du 19 août 2003, qui se base sur l'examen du 21 mai 2003, le Dr G.________ a retenu le diagnostic avec répercussion sur la capacité de travail de membrane néovasculaire oculaire classique bilatérale compliquant des stries angioïdes bilatérales, depuis janvier 2003. Il a indiqué que l'état de santé de l'assurée s'aggravait et a signalé une baisse de l'acuité visuelle bilatérale avec déformation des images. Dans l'annexe au rapport médical, il a précisé que la répercussion de l'atteinte à la santé sur l'activité exercée dépendait de l'utilité de la fonction visuelle dans le travail, que l'activité exercée était encore exigible dans la mesure des capacités visuelles, qu'une activité ne nécessitant pas de vision pointue était envisageable, que la vision binoculaire n'était plus parfaite, de même que la sensibilité aux contrastes visuels, et que les activités nécessitant des manipulations fines n'étaient plus possibles. Dans un rapport du 10 septembre 2003, le Dr H.________ a posé les diagnostics de stries angioïdes bilatérales dans le contexte d'un pseudoxanthome élastique, depuis 1978, et de membranes néovasculaires rétrofovéales bilatérales secondaires, depuis février 2003. Dans l'annexe au rapport médical, datée du 10 septembre 2003, ce médecin a indiqué que l'activité exercée par l'assurée n'était plus exigible, a retenu une diminution de rendement d'environ 80 % dans toute activité comprenant lecture et écriture, puis a indiqué qu'une activité adaptée aux personnes malvoyantes était envisageable – en tenant compte d'un poste de travail bien éclairé et de peu d'activités de lecture ou d'écritures – à un taux de 50 % et avec une diminution de rendement pouvant être de 0 à 60 % selon l'activité considérée. Dans un rapport du 12 février 2007, la Dresse I.________ a retenu le diagnostic de membrane néo-vasculaire rétro-fovéale bilatérale compliquant des stries angioïdes et une incapacité de travail de 100 %, dans l'éducation spécialisée, à compter du 24 novembre 2006. Elle a indiqué que l'état de santé de l'assurée était stationnaire et, dans l'anamnèse, qu'il y avait une baisse d'acuité visuelle de l'œil droit à distance et de près, œil unique. Dans l'annexe au rapport médical, elle a relevé que l'activité exercée jusqu'à maintenant n'était plus exigible, et que l'exercice d'une autre activité était exigible à environ 50 %, compte tenu d'une diminution de rendement (non chiffrée) et en précisant ce qui suit: "Tout travail ne nécessitant pas une acuité visuelle de précision. La patiente serait très motivée pour faire du travail dans l'activité sociale relationnelle en étant particulièrement attentif au fait de baisse d'acuité visuelle de la patiente. Cette activité peut être exercée si elle est adaptée à son acuité visuelle autant que la patiente puisse le tolérer". Dans un rapport du 12 avril 2007, la Dresse J.________, du SMR, se prononçant notamment au sujet du rapport précité du 12 février 2007 de la Dresse I.________, a considéré qu'il y avait eu une aggravation de l'état de santé de l'intéressée, mais pas nécessairement de la capacité de travail. Concernant l'activité d'enseignante spécialisée, elle a retenu que la capacité de travail restait exigible à 50 %, à condition qu'elle fût adaptée aux limitations fonctionnelles (sans activité de lecture et d'écriture, sans surveillance de petits enfants); si au contraire cette activité exigeait une bonne acuité visuelle, elle s'est référée à une incapacité de travail complète, depuis 2003. Elle a ajouté que la capacité de travail était de 50 % dans une activité adaptée, sans changement depuis 2003. b) On retiendra donc que, à l'époque de l'octroi de rente d'invalidité, le médecin traitant de l'assurée, le Dr H.________, avait estimé que la capacité de travail était nulle dans son activité habituelle et qu'elle était de 50 % dans une activité adaptée compte tenu d'une diminution de rendement de 0 à 60 %; ce médecin a fait état d'une aggravation après photothérapie de l'œil droit, ce qui n'est pas incohérent (rapport du 10 septembre 2003). Pour sa part, le médecin de l'Hôpital ophtalmique M.________, le Dr G.________, avait relevé que l'activité exercée était encore exigible dans la mesure des capacités visuelles et qu'une activité ne nécessitant pas de vision pointue était envisageable (rapport du 19 août 2003). Par prononcé du 9 décembre 2005, l'OAI avait indiqué que l'assurée pouvait, moyennant certains aménagements, exercer son activité habituelle d'éducatrice spécialisée à 50%, ce qui entraînait un préjudice économique de 50 %. Lors de la procédure de révision du droit à la rente, le médecin de l'Hôpital ophtalmique M.________, la Dresse I.________, a estimé que l'activité exercée jusqu'à maintenant n'était plus exigible, et que l'exercice d'une autre activité était exigible à environ 50 %, compte tenu d'une diminution de rendement, sans toutefois en préciser l'ampleur (rapport du 12 février 2007). Pour sa part, la Dresse J.________, du SMR, a retenu que la capacité de travail dans l'activité d'enseignante spécialisée restait exigible à 50 %, à condition qu'elle fût adaptée aux limitations fonctionnelles, sinon elle était nulle. Dans une activité adaptée, elle a retenu une capacité de travail de 50 %, sans changement depuis 2003 (rapport du 12 avril 2007). Si la Dresse I.________ a indiqué que l'état de santé de l'assurée était stationnaire, elle n'en a pas moins relevé qu'il y avait une baisse d'acuité visuelle de l'œil droit à distance et de près. Sur ce point, la Dresse J.________ a signalé une aggravation de l'état de santé, tout en relevant que les limitations fonctionnelles étaient restées les mêmes. On relèvera donc que les constatations de ces médecins semblent quelque peu manquer de cohérence au regard de leur appréciation respective. S'agissant de la capacité de travail dans l'activité habituelle de l'assurée, question sur laquelle ces deux médecins ont des opinions divergentes, l'avis de la Dresse I.________ est certes peu étayé, voire contradictoire, mais il ne saurait sans autre être écarté par celui de la Dresse J.________ qui n'a pas personnellement examiné l'assurée et n'est pas spécialiste en ophtalmologie. L'assertion du médecin du SMR est au demeurant confuse, dès lors que l'appréciation de la capacité de travail dans l'activité d'enseignante spécialisée n'est pas clairement déterminée car elle serait fonction de l'exigence d'une bonne acuité visuelle. Par ailleurs, s'agissant de la capacité de travail dans une activité adaptée, la Dresse I.________ n'a pas précisé l'ampleur de la diminution de rendement de l'assurée, tout en admettant qu'il y en a une, et la Dresse J.________ ne s'est pour sa part pas prononcée au sujet d'une éventuelle diminution de rendement. L'état de santé de l'assurée semble d'ailleurs s'être aggravé en 2007, quand bien même la Dresse I.________ a constaté un état stationnaire (rapport du 12 février 2007). En effet, les acuités visuelles ont été chiffrées à 0.4 à D de loin et 0.2 à G de loin le 21 mai 2003 (rapport du 19 août 2003 du Dr G.________), à 0.4 à D et 2/50 à G le 10 septembre 2003 (rapport du même jour du Dr H.________) et à 0.2 à D et comptage des doigts à G le 24 novembre 2006 (rapport du 12 février 2007 de la Dresse I.________). c) En conséquence, en présence d'avis contradictoires et au demeurant peu étayés, dont aucun ne revêt une pleine valeur probante (ATF 125 V 352 c. 3a et les références citées; TF 8C_1021/2008 du 3 décembre 2009 c. 2.2.2), il n'est pas possible de se prononcer à satisfaction de droit sur l'état de santé de la recourante et sur sa capacité de travail exigible. La décision attaquée doit donc être annulée et la cause renvoyée à l'OAI afin qu'il mette en œuvre une expertise par un spécialiste en ophtalmologie, l'expert devant notamment se prononcer sur l'évolution de l'état de santé de la recourante, sur sa capacité de travail dans sa profession habituelle et dans une activité adaptée ainsi que sur ses limitations fonctionnelles. Il appartiendra ensuite à l'OAI de déterminer l'invalidité de la recourante selon la méthode mixte, selon les considérants qui précèdent, puis de statuer sur le droit à la rente d'invalidité. Dans cette mesure, les autres arguments avancés par les parties n'ont pas besoin d'être examinés. Partant, le recours est admis. 7. En dérogation à l'art. 61 let. a LPGA, la procédure de recours en matière de contestations portant sur l'octroi ou le refus de prestations de l'AI devant le tribunal cantonal des assurances est soumise à des frais de justice (art. 69 al. 1 bis LAI). Vu l'issue du litige, il n'y a toutefois pas lieu de percevoir de frais de justice (art. 52 al. 1 LPA-VD). La recourante, qui obtient gain de cause avec le concours d'un mandataire professionnel, a droit à des dépens dont le montant – qui doit être déterminé au regard de l'importance et de la complexité du litige sans égard à la valeur litigieuse (art. 61 litt. g LPGA) – doit en l'espèce être arrêté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