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688 vom 21. April 2010</w:t>
      </w:r>
    </w:p>
    <w:p>
      <w:r>
        <w:t>VD Tribunal cantonal, 2010-04-21, FR</w:t>
      </w:r>
    </w:p>
    <w:p>
      <w:r>
        <w:rPr>
          <w:b/>
        </w:rPr>
        <w:t xml:space="preserve">Quelle: </w:t>
      </w:r>
      <w:r>
        <w:t>https://mcp.opencaselaw.ch/entscheid/vd_findinfo_Arr_t___2010___688</w:t>
      </w:r>
    </w:p>
    <w:p>
      <w:r>
        <w:t>FR: VD_FINDINFO Arrêt / 2010 / 688 du 21 avril 2010</w:t>
      </w:r>
    </w:p>
    <w:p>
      <w:r>
        <w:t>IT: VD_FINDINFO Arrêt / 2010 / 688 del 21 aprile 2010</w:t>
      </w:r>
    </w:p>
    <w:p>
      <w:pPr>
        <w:pStyle w:val="Heading2"/>
      </w:pPr>
      <w:r>
        <w:t>Regeste</w:t>
      </w:r>
    </w:p>
    <w:p>
      <w:r>
        <w:t>PRIVATION DE LIBERTÉ À DES FINS D'ASSISTANCE, ÉTABLISSEMENT{DOMAINE SOCIAL}, TUTELLE | 397a CC, 398b CPC</w:t>
      </w:r>
    </w:p>
    <w:p>
      <w:pPr>
        <w:pStyle w:val="Heading2"/>
      </w:pPr>
      <w:r>
        <w:t>Erwägungen</w:t>
      </w:r>
    </w:p>
    <w:p>
      <w:r>
        <w:rPr>
          <w:b/>
        </w:rPr>
        <w:t>E. 1</w:t>
      </w:r>
    </w:p>
    <w:p>
      <w:r>
        <w:t>Le recours est dirigé contre la décision de l'autorité tutélaire ordonnant le placement à des fins d'assistance de S.________ en application des art. 397a CC (Code civil suisse du 10 décembre 1907, RS 210) et 398b CPC (Code de procédure civile du 14 décembre 1966, RSV 270.11).</w:t>
      </w:r>
    </w:p>
    <w:p>
      <w:r>
        <w:rPr>
          <w:b/>
        </w:rPr>
        <w:t>E. 2</w:t>
      </w:r>
    </w:p>
    <w:p>
      <w:r>
        <w:t>a) L'art. 398d CPC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 Son examen porte sur la régularité de la décision tant sur le plan formel que sur le plan matériel, même lorsque la mesure de placement est provisoire (JT 2005 III 51 c. 2a). En principe, chaque recours est communiqué au Ministère public, dont le préavis est toutefois facultatif (art. 398f al. 3 CPC). Interjeté en temps utile par l'intéressé lui-même, le présent recours est recevable. Il a été soumis au Ministère public qui a conclu au rejet du recours dans son préavis du 15 avril 2010. b) 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 L'art. 397f al. 3 CC prescrit en particulier au juge de première instance, soit à la justice de paix du domicile de l'intéressé (art. 398a al. 1 et 2 CPC et 3 ch. 4 LVCC (loi d'introduction dans le Canton de Vaud du Code civil suisse du 30  novembre 1910, RSV 211.01; BGC 1980 automne, p. 96), d'entendre ce dernier. Conformément à la jurisprudence (ATF 115 II 129 c. 6b, JT 1992 I 330), l'audition orale prescrite par l'art. 397f al. 3 CC et, dans le canton de Vaud, par l'art. 398a al. 2 CPC, doit être faite par l'ensemble du tribunal qui connaît du cas, car elle constitue non seulement un droit inhérent à la défense de l'intéressé, mais également un moyen d'élucider les faits. En l'espèce, S.________ étant domicilié à Granges-Marnand, la Justice de paix du district de la Broye-Vully était compétente pour statuer en matière de placement à des fins d'assistance (art. 397b al. 1 CC et 398a al. 1 CPC). L'autorité tutélaire in corpore a procédé à l'audition de l'intéressé lors de sa séance du 21 janvier 2010, de sorte que le droit d'être entendu a été respecté. c) Les art. 397e ch. 5 CC et 398a al. 5 CPC exigent le concours d'experts lorsque le placement est motivé par l'état de santé de l'intéressé (FF 1977 III 33; Katz, Privation de liberté à des fins d'assistance, thèse Lausanne, 1983, pp. 94-95; JT 1987 III 12). Aucune exigence précise n'est formulée quant à la personne de l'expert (FF 1977 III, p. 37; Schnyder, Die fürsorgerische Freiheitsentziehung, in RDT 1979, pp. 19 ss); le Tribunal fédéral a toutefois précisé que l'expert devait être qualifié professionnellement et indépendant et qu'il ne devait pas s'être déjà prononcé sur la maladie de l'intéressé dans une même procédure (ATF 128 III 12 c. 4a, JT 2002 I 474; ATF 119 II 319; ATF 118 II 249 c. 2a, JT 1995 I 51). A l'occasion du con­trôle annuel prescrit par l'art. 398g CPC, l'autorité peut se contenter d'une expertise médicale ou d'un avis médical simplifié (JT 1987 III 12). La loi n'exige pas que le médecin consulté soit étranger à l'établissement de placement (Poudret/Haldy/Tappy, Procédure civile vaudoise, 3 ème éd., Lausanne 2002, n. 2 ad art. 398a CPC). Dans le cas présent, la décision attaquée se fonde sur le rapport d'expertise établi le 3 décembre 2009 par le Dr Pache et la Dresse Kiener-Schmidlin, respectivement médecin adjoint et médecin assistant à l'Unité psychiatrique ambulatoire d'Yverdon. Les auteurs de ce rapport ne s'étant pas déjà prononcés dans le cadre d'une même procédure sur l'état de santé de l'intéressé, ils remplissent les exigences personnelles posées par la jurisprudence pour assumer la fonction d'expert. La décision entreprise est donc formellement correcte et peut être examinée sur le fond.</w:t>
      </w:r>
    </w:p>
    <w:p>
      <w:r>
        <w:rPr>
          <w:b/>
        </w:rPr>
        <w:t>E. 3</w:t>
      </w:r>
    </w:p>
    <w:p>
      <w:r>
        <w:t>S.________ conteste la mesure de privation de liberté à des fins d'assistance et son placement au foyer du Midi à Yverdon-les-Bains. a) Aux termes de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à des fins d'assistance est une mesure tutélaire spéciale qui prend place dans le Code civil à côté de la tutelle proprement dite (Deschenaux/Steinauer, Personnes physiques et tutelle, 4 ème édition, 2001, n. 1157, p. 433); comme en matière d'interdiction et de mise sous conseil légal, il convient de distinguer la cause de la privation de liberté de la condition de cette mesure (Deschenaux/Steinauer, op. cit., n. 1163, p. 435). La privation de liberté ne peut être décidée que si, en raison de l'une des causes mentionnées de manière exhaustive à l'art. 397a al. 1 CC, l'intéressé a besoin d'une assistance personnelle, c'est-à-dire présente un état qui exige qu'une aide lui soit fournie, que des soins lui soient donnés et qu'une protection au sens étroit lui soit assurée ( ATF 134 III 289, Deschenaux/Steinauer, op. cit., nn. 1169 ss, p. 437 ). Il faut en outre que la protection nécessaire ne puisse être réalisée autrement que par une mesure de privation de liberté, c'est-à-dire que d'autres mesures, telles que l'aide de l'entourage, l'aide sociale ou un traitement ambulatoire, aient été ou paraissent d'emblée inefficaces ( Deschenaux/Steinauer , op. cit., nn. 1171 ss, pp. 437- 438; JT 2005 III 51).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 er octobre 2008). b) En l'espèce, il ressort de l'expertise du 3 décembre 2009 que le recourant est atteint de schizophrénie indifférenciée et d'une dépendance au cannabis qui nécessitent des soins permanents sous forme d'un traitement médicamenteux et de soutiens thérapeutiques et éducatifs qui doivent lui être fournis dans un foyer tel que celui de la Borde ou du Midi. Les experts ont retenu que S.________ pouvait à tout moment renoncer à suivre ses traitements compte tenu du déni de ses difficultés et de sa labilité émotionnelle. Ces symptômes l'amenant à refuser tout soin, les experts ont conclu qu'un placement en foyer était nécessaire pour assurer les chances de rétablissement du pupille. Comme la justice de paix, la cour de céans partage cet avis. Le fait que le recourant fasse valoir que son état s'est amélioré n'y change rien. Il ressort de l'expertise que S.________ avait déjà exposé aux experts que sa situation s'était améliorée sans pour autant que cette évolution ne soit perceptible et prise en compte. Au contraire, il ressort du dossier et du rapport du foyer du Midi du 22 février 2010 que la fréquentation ambulatoire du foyer est insuffisante. En définitive, seul le cadre contraignant d'un placement en foyer paraît à même de contribuer à améliorer l'état de santé et la situation du recourant. C'est donc à bon droit que la justice de paix a ordonné la privation de liberté à des fins d'assistance et le placement au foyer du Midi de S.________.</w:t>
      </w:r>
    </w:p>
    <w:p>
      <w:r>
        <w:rPr>
          <w:b/>
        </w:rPr>
        <w:t>E. 4</w:t>
      </w:r>
    </w:p>
    <w:p>
      <w:r>
        <w:t>Le recours de S.________ doit donc être rejeté et le jugement entrepris confirmé. Le présent arrêt est rendu sans frais (art. 236 al. 2 TFJC, tardif du 4 décembre 1984 des frais judiciaires en matière civile, RSV 270.11.5). Par ces motifs, la Chambre des tutelles du Tribunal cantonal, statuant à huis clos, prononce : I. Le recours est rejeté. II. Le jugement est confirmé. III. L'arrêt est rendu sans frais. Le président :              La greffière : Du 21 avril 2010 Le dispositif de l'arrêt qui précède est communiqué par écrit aux intéressés. La greffière : Du L'arrêt qui précède, dont la rédaction a été approuvée à huis clos, est notifié à : ‑ M. S.________, ‑ M. B.________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