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606 vom 3. Mai 2010</w:t>
      </w:r>
    </w:p>
    <w:p>
      <w:r>
        <w:t>VD Tribunal cantonal, 2010-05-03, FR</w:t>
      </w:r>
    </w:p>
    <w:p>
      <w:r>
        <w:rPr>
          <w:b/>
        </w:rPr>
        <w:t xml:space="preserve">Quelle: </w:t>
      </w:r>
      <w:r>
        <w:t>https://mcp.opencaselaw.ch/entscheid/vd_findinfo_Arr_t___2010___606</w:t>
      </w:r>
    </w:p>
    <w:p>
      <w:r>
        <w:t>FR: VD_FINDINFO Arrêt / 2010 / 606 du 3 mai 2010</w:t>
      </w:r>
    </w:p>
    <w:p>
      <w:r>
        <w:t>IT: VD_FINDINFO Arrêt / 2010 / 606 del 3 maggio 2010</w:t>
      </w:r>
    </w:p>
    <w:p>
      <w:pPr>
        <w:pStyle w:val="Heading2"/>
      </w:pPr>
      <w:r>
        <w:t>Regeste</w:t>
      </w:r>
    </w:p>
    <w:p>
      <w:r>
        <w:t>PRESTATION D'ASSURANCE{AC}, SUSPENSION DU DROIT À L'INDEMNITÉ, CHÔMAGE IMPUTABLE À UNE FAUTE DE L'ASSURÉ | 30 al. 1 let. a LACI, 30 al. 3 LACI, 61 let. a LPGA, 61 let. g LPGA, 44 al. 1 let. a OACI, 45 al. 2 OACI, 94 al. 1 let. a LPA-VD</w:t>
      </w:r>
    </w:p>
    <w:p>
      <w:pPr>
        <w:pStyle w:val="Heading2"/>
      </w:pPr>
      <w:r>
        <w:t>Erwägungen</w:t>
      </w:r>
    </w:p>
    <w:p>
      <w:r>
        <w:rPr>
          <w:b/>
        </w:rPr>
        <w:t>E. 3</w:t>
      </w:r>
    </w:p>
    <w:p>
      <w:r>
        <w:t>La durée de la suspension est proportionnelle à la faute et ne peut excéder en l’occurrence soixante jours (art. 30 al. 3 LACI). L’autorité dispose à cet égard d’un large pouvoir d’appréciation, et le juge n’intervient qu’en cas d’excès ou d’abus de ce pouvoir (ATF 133 V 593, consid. 6; 123 V 150, consid. 3b). Aux termes de l’art. 45 al. 2 OACI, la durée de la suspension dans l’exercice du droit à l’indemnité est de un à quinze jours en cas de faute légère (let. a); de seize à trente jours en cas de faute de gravité moyenne (let. b) et de trente-et-un à soixante jours en cas de faute grave (let. c). En l’occurrence, la Caisse a retenu que la faute du recourant était légère, et suspendu son droit à l’indemnité pour une durée de quinze jours, comme l’indiquent les décisions du 2 juin 2009 et 14 janvier 2010 – et non vingt jours comme le mentionne le recourant. Compte tenu du pouvoir d’appréciation laissé à la Caisse dans ce domaine, il n’y a rien à redire à la qualification de la faute et à la quotité de la sanction.</w:t>
      </w:r>
    </w:p>
    <w:p>
      <w:r>
        <w:rPr>
          <w:b/>
        </w:rPr>
        <w:t>E. 4</w:t>
      </w:r>
    </w:p>
    <w:p>
      <w:r>
        <w:t>Le recours doit ainsi être rejeté, et la décision attaquée confirmée. Il est statué sans frais; il n’y a pas lieu d’allouer des dépens (art. 61 let. a et g de la loi fédérale du 6 octobre 2000 sur la partie générale du droit des assurances sociales [LPGA, RS 830.1]). Par ces motifs, le juge unique prononce : I. Le recours est rejeté. II. La décision rendue le 14 janvier 2010 par la Caisse V.________ est confirmée. III. Il est statué sans frais, ni dépens. Le juge unique:              Le greffier: Du L'arrêt qui précède est notifié à: ‑ G.________, ‑ Caisse V.________,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