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53 vom 17. Dezember 2009</w:t>
      </w:r>
    </w:p>
    <w:p>
      <w:r>
        <w:t>VD Tribunal cantonal, 2009-12-17, FR</w:t>
      </w:r>
    </w:p>
    <w:p>
      <w:r>
        <w:rPr>
          <w:b/>
        </w:rPr>
        <w:t xml:space="preserve">Quelle: </w:t>
      </w:r>
      <w:r>
        <w:t>https://mcp.opencaselaw.ch/entscheid/vd_findinfo_Arr_t___2010___53</w:t>
      </w:r>
    </w:p>
    <w:p>
      <w:r>
        <w:t>FR: VD_FINDINFO Arrêt / 2010 / 53 du 17 décembre 2009</w:t>
      </w:r>
    </w:p>
    <w:p>
      <w:r>
        <w:t>IT: VD_FINDINFO Arrêt / 2010 / 53 del 17 dicembre 2009</w:t>
      </w:r>
    </w:p>
    <w:p>
      <w:pPr>
        <w:pStyle w:val="Heading2"/>
      </w:pPr>
      <w:r>
        <w:t>Regeste</w:t>
      </w:r>
    </w:p>
    <w:p>
      <w:r>
        <w:t>TUTELLE, INTERDICTION, PRIVATION DE LIBERTÉ À DES FINS D'ASSISTANCE, PROPORTIONNALITÉ | 369 CC, 397a CC, 380 CPC, 393 CPC, 398a CPC, 398d CPC</w:t>
      </w:r>
    </w:p>
    <w:p>
      <w:pPr>
        <w:pStyle w:val="Heading2"/>
      </w:pPr>
      <w:r>
        <w:t>Erwägungen</w:t>
      </w:r>
    </w:p>
    <w:p>
      <w:r>
        <w:rPr>
          <w:b/>
        </w:rPr>
        <w:t>E. 1</w:t>
      </w:r>
    </w:p>
    <w:p>
      <w:r>
        <w:t>Le recours est dirigé contre la décision de la justice de paix prononçant l'interdiction civile à forme de l'art. 369 CC (Code civil suisse du 10 décembre 1907, RS 210) de A.K.________ et ordonnant son placement à des fins d'assistance en application des art. 397a CC et 398a CPC (Code de procédure civile vaudoise du 14 décembre 1966, RSV 270.11). Il convient d'examiner successivement l'appel contre l'interdiction civile puis le recours contre la privation de liberté à des fins d'assistance. A. Appel :</w:t>
      </w:r>
    </w:p>
    <w:p>
      <w:r>
        <w:rPr>
          <w:b/>
        </w:rPr>
        <w:t>E. 2</w:t>
      </w:r>
    </w:p>
    <w:p>
      <w:r>
        <w:t>a) Conformément à l'art. 393 al. 1 CPC,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Zurbuchen, La procédure d'interdiction, thèse, Lausanne 1991, pp. 169 et 170; Poudret/Haldy/Tappy, Procédure civile vaudoise,</w:t>
      </w:r>
    </w:p>
    <w:p>
      <w:r>
        <w:rPr>
          <w:b/>
        </w:rPr>
        <w:t>E. 3</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 p. 763; CTUT, 13 juillet 2004/125). Dans le canton de Vaud, la procédure en matière d'interdiction est régie par les art. 379 ss CPC, sous réserve des règles de procédure fédérale définies aux art. 373 à 375 CC. a) Selon l'art. 379 al. 1 CPC, les demandes d'interdiction formées par les particuliers sont adressées à la justice de paix du domicile de la personne à interdire. Cette règle correspond à la norme fédérale régissant le for tutélaire (art. 376 al. 1 CC).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A.K.________ était domiciliée à Lausanne lorsque l'autorité tutélaire a ordonné l'ouverture d'une enquête en sa faveur le 31 janvier 2008. Cependant, domiciliée à Renens depuis le 21 janvier 2009, la Justice de paix du district de l'Ouest lausannois était compétente pour décider de l'institution éventuelle d'une tutelle. La juge de paix a procédé à une enquête. Elle a requis l'avis de la Municipalité de Lausanne qui a préavisé en faveur de l'interdiction civile de A.K.________ par lettre du 12 janvier 2009. Elle a ordonné une expertise médicale et a soumis le rapport d'expertise psychiatrique des Dresses Mullor et Pittet du 17 mars 2009 au Conseil de santé, qui a déclaré ne pas avoir d'observation à formuler par courrier du 1 er avril 2009. La juge de paix a ensuite transmis le dossier au Ministère public qui a préavisé, dans une correspondance du 16 avril 2009, en faveur de l'interdiction civile de A.K.________. Au terme de l'enquête, la juge de paix a déféré la cause à la justice de paix qui l'a dûment citée à comparaître à son audience du 11 juin 2009 à laquelle elle ne s'est pas présentée se prévalant par l'intermédiaire de son mari d'une forte grippe intestinale mais ne l'a pas établie. Le droit d'être entendu de A.K.________ a ainsi été respecté. Il s'ensuit que la décision attaquée est formellement correcte et qu'elle peut être examinée quant au fond.</w:t>
      </w:r>
    </w:p>
    <w:p>
      <w:r>
        <w:rPr>
          <w:b/>
        </w:rPr>
        <w:t>E. 4</w:t>
      </w:r>
    </w:p>
    <w:p>
      <w:r>
        <w:t>L'interdiction de A.K.________ a été prononcée en application de l'art. 369 CC. a) A teneur de cette disposition, sera pourvu d'un tuteur tout majeur qui, pour cause de maladie mentale ou de faiblesse d'esprit, est incapable de gérer ses affaires, ne peut se passer de soins et secours permanents ou menace la sécurité d'autrui. Selon la jurisprudence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nos 116 ss, pp. 36 ss). Les conditions du besoin spécial de protection susmentionnées sont alternatives (TF 5C.262/2002 du 6 mars 2003, in FamPra.ch 2003, p. 737 ).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nos 860 ss, pp. 334 ss; TF 5C.74/2003 du 3 juillet 2003, in FamPra.ch 2003, p. 975; TF 5A_568/2007 du 4 février 2008). Le but d'une mesure tutélaire est de protéger le faible contre lui-même et l'exploitation par des tiers. Une mesure est disproportionnée si elle est trop radicale ou trop faible pour atteindre ce but (TF 5C.74/2003  précité ; Affolter, Commentaire bâlois, 3 e éd., n. 60 ad art. 406 CC, p.2040 ; Stettler, Droit Civil I, Représentation et protection de l'adulte, 4 e éd., n. 80, pp 42-43). La tâche d'assister le pupille sur un plan personnel peut être confiée non seulement à un tuteur mais aussi à un conseil légal (ATF 96 II 369 c. 1d, pp. 373-374). Toutefois, l'assistance personnelle ne doit pas être le principal objet de la protection par un conseil légal. Celui-ci tend à préserver en premier lieu les intérêts - ou l'existence - économiques de la personne à assister (ATF 108 II 92 c. 4 p. 94; 103 II 81, TF 5C.92/1999 du 20 mai 1999 c. 4b); il ne saurait, en revanche, garantir une protection suffisante lorsqu'une surveillance et une aide personnelles durables sont nécessaires, seul le tuteur a les moyens de mettre en œuvre une protection étendue (art. 406 CC; ATF 97 II 302; TF 5C.74/2003 précité; TF 5A_389/2007 du 19 septembre 2007 c. 4.2, TF 5C.17/2005 du 8 avril 2005 c. 5.3). D'éventuelles mesures contraignantes relèvent de la compétence du tuteur (art. 406 al. 2 CC; Stettler, op.cit., n. 305, pp 135-136 et la jurisprudence citée). Le Conseil légal, qui n'est pas un représentant légal, ne peut en effet ni donner d'instructions ni user de contrainte envers la personne assistée, il ne peut demander un placement dans un établissement ni ordonner un traitement ambulatoire (ATF 96 précité). b) En l'espèce, il ressort du rapport d'expertise du 17 mars 2009 que l'appelante est atteinte de troubles de la personnalité émotionnellement labile de type borderline qui ont déjà nécessité trente-huit hospitalisations à l'Hôpital de Cery depuis 1999. Une cause d'interdiction au sens de l'art. 369 CC est ainsi réalisée. Le besoin de protection de A.K.________ est également avéré. En effet, il ressort de l'expertise que ses troubles de la personnalité font que l'expertisée n'est pas en mesure de gérer ses affaires sans les compromettre, ce qu'elle admet au demeurant elle-même en expliquant les avoir confié à son mari avant que la mesure tutélaire provisoire n'ait été prononcée. Une mesure moins incisive que celle prononcée n'est ainsi pas envisageable dans la mesure où l'appelante a besoin d'une assistance personnelle de façon durable afin de consolider et de préserver les améliorations apparues depuis l'instauration de la mesure de tutelle provisoire. Par ailleurs, A.K.________ ne conteste pas dans son acte de recours le principe même de son interdiction qu'elle souhaite cependant être volontaire et requiert même que [...] de l'OTG continue à être son tuteur. Sa requête de tutelle volontaire à forme de l'art. 372 CC ne peut cependant pas être admise dans la mesure où la décision querellée doit être confirmée pour les motifs exposés ci-dessus. L'interdiction civile de l'appelante est par conséquent justifiée au regard de l'art. 369 CC et conforme au principe de proportionnalité. Son appel doit donc être rejeté. B. Recours contre la privation de liberté à des fins d'assistance :</w:t>
      </w:r>
    </w:p>
    <w:p>
      <w:r>
        <w:rPr>
          <w:b/>
        </w:rPr>
        <w:t>E. 5</w:t>
      </w:r>
    </w:p>
    <w:p>
      <w:r>
        <w:t>a) L'art. 398d CPC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 b) Interjeté en temps utile par l'intéressée elle-même, le présent recour s est recevable à la forme . Le recours a été soumis au Ministère public qui a fait siens les considérants du dispositif rendu par la justice de paix du 11 juin 2009.</w:t>
      </w:r>
    </w:p>
    <w:p>
      <w:r>
        <w:rPr>
          <w:b/>
        </w:rPr>
        <w:t>E. 6</w:t>
      </w:r>
    </w:p>
    <w:p>
      <w:r>
        <w:t>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A.K.________ était domiciliée à Lausanne lorsque l'autorité tutélaire a ordonné l'ouverture d'une enquête en sa faveur le 31 janvier 2008. Cependant, domiciliée à Renens depuis le 21 janvier 2009, la Justice de paix du district de l'Ouest lausannois était compétente pour prendre la décision querellée. Bien que dûment citée à comparaître à l'audience de la justice de paix du 11 juin 2009, A.K.________ ne s'est pas présentée, se prévalant par l'intermédiaire de son mari d'une grippe intestinale ce qu'elle n'a cependant pas établi. Son droit d'être entendue a été respecté. b) Les art. 397e ch. 5 CC et 398a al. 5 CPC exigent le concours d'experts lorsque le placement est motivé par l'état de santé de l'intéressé (FF 1977 III 33; Katz, Privation de liberté à des fins d'assistance, thèse, Lausanne 1983, pp. 94 et 95; JT 1987 III 12; CTUT, 25 mars 2003/39). Aucune exigence précise n'est formulée quant à la personne de l'expert; le Tribunal fédéral a toutefois précisé que l'expert devait être qualifié professionnellement et indépendant, et qu'il ne devait pas s'être déjà prononcé sur la maladie de l'intéressé dans une même procédure (ATF 128 III 12 c. 4a, JT 2002 I 474; ATF 119 II 319; ATF 118 II 249 c. 2a, JT 1995 I 51). La loi n'exige pas que le médecin consulté soit étranger à l'établissement de placement (Poudret/Haldy/Tappy, op.cit., n. 2 ad art. 398a CPC, p. 606 et réf. citées). Lorsque l'autorité statue par une mesure provisoire, elle peut se contenter, dans certaines circonstances, d'entendre l'intéressé seul et se fonder sur un simple rapport médical, même oral (JT 2005 III 51 c. 2c). Dans le cas présent, la décision attaquée se fonde sur le rapport d'expertise établi le 17 mars 2009 par les Dresses Mullor et Pittet, respectivement médecin hospitalier et médecin assistante au Centre d'expertise du CHUV . Les auteurs de ce rapport étant des experts en psychiatrie ne s'étant pas déjà prononcés dans la même procédure sur l'état de santé de l'intéressé avant le rapport du 17 mars 2009, elles remplissent les exigences posées par la jurisprudence pour assumer la fonction d'experts. La décision entreprise est donc formellement correcte et peut être examinée sur le fond.</w:t>
      </w:r>
    </w:p>
    <w:p>
      <w:r>
        <w:rPr>
          <w:b/>
        </w:rPr>
        <w:t>E. 7</w:t>
      </w:r>
    </w:p>
    <w:p>
      <w:r>
        <w:t>A.K.________ conteste la mesure de privation de liberté à des fins d'assistance d'une durée indéterminée prononcée à son encontre . a) Selon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op.cit.,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nos 1169 ss, pp. 437 et 438; FF 1977 III, pp. 28 et 29; JT 2005 III 51).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b) En l'espèce, il résulte du rapport d'expertise du 17 mars des Dresses Mullor et Pittet que la recourante est atteinte de troubles de la personnalité émotionnellement labile de type borderline qui ont déjà nécessité trente-huit hospitalisations à l'Hôpital de Cery depuis 1999. Il est dès lors établi que la recourante souffre de troubles mentaux  importants et qu'une des causes de privation de liberté à des fins d'assistance prévues par l'art. 397a al. 1 CC est réalisée. Il résulte également du rapport d'expertise qu'elle a besoin d'une assistance personnelle. Il convient toutefois de déterminer si cette assistance ne peut lui être fournie que dans le cadre d'une hospitalisation. Il résulte du dossier de première instance que A.K.________ n'est pas en mesure de gérer ses affaires sans les compromettre et que sa situation a été précaire jusqu'à ce que sa tutrice provisoire ordonne son placement d'urgence à des fins d'assistance à l'Hôpital de Cery le 13 novembre 2008. Il résulte de la lettre des Drs [...] et [...], du 28 décembre 2008 et de l'expertise du 17 mars 2009  que la recourante a été placé, avec son mari, en appartement protégé dès le 21 janvier 2009. Dans ce cadre, elle bénéficie, parallèlement au mandat de tutelle provisoire confié à la Tutrice générale, d'un suivi rapproché d'un éducateur et d'un suivi infirmier du CMS. Les experts ont qualifié ce projet de vie d'approprié dans leur expertise. Selon la lettre du 11 décembre 2009 de [...] de l'OTG, B.K.________ et A.K.________ vivent toujours en appartement protégé mais sont sur le point d'entamer un sevrage volontaire à Cery, de sorte que selon lui une mesure de privation de liberté à des fins d'assistance ne se justifie pas pour le moment. Vu ce qui précède il y a lieu de considérer que les mesures mises en place par les services de la Tutrice générale ont permis de stabiliser la situation des époux [...] qui vivent selon les dernières indications fournies dans un appartement protégé où le cadre de vie de la recourante s'est stabilisé et même amélioré de manière importante, de sorte qu'ordonner en l'état une privation de liberté à des fins d'assistance n'est ni nécessaire ni proportionnée. En effet et comme l'ont relevé les différents intervenants, l'éducateur spécialisé et les services du CMS peuvent toujours en tant que besoin avertir la Tutrice générale et /ou le médecin traitant si la situation venait à se péjorer une nouvelle fois. Cette dernière, dont la désignation en tant que tutrice a été confirmée, pourra prendre toutes les mesures utiles et nécessaires. On peut enfin relever que selon la lettre de l'OTG du 11 décembre 2009, il apparaît que l'évolution des époux [...] continue de s'améliorer, ces derniers ayant accepté de suivre prochainement une cure de sevrage volontaire à l'Hôpital de Cery. Par conséquent, le recours de A.K.________ doit être admis en ce sens qu'il est renoncé à son placement à des fins d'assistance.</w:t>
      </w:r>
    </w:p>
    <w:p>
      <w:r>
        <w:rPr>
          <w:b/>
        </w:rPr>
        <w:t>E. 8</w:t>
      </w:r>
    </w:p>
    <w:p>
      <w:r>
        <w:t>En définitive, l'appel interjeté par A.K.________ doit être rejeté mais son recours admis, le jugement entrepris devant être réformé en ce sens que le chiffre IX est supprimé. Le présent arrêt peut être rendu sans frais (art. 236 al. 2 TFJC, tarif des frais judiciaires en matière civile du 4 décembre 1984, RSV 270.11.5). Par ces motifs, la Chambre des tutelles du Tribunal cantonal, statuant à huis clos, prononce : I. L'appel contre l'interdiction civile est rejeté. II . Le recours contre la mesure de privation de liberté à des fins d'assistance est admis. III. Le jugement est réformé comme il suit au chiffre IX de son dispositif: IX. supprimé. Le jugement est confirmé pour le surplus. IV .      L'arrêt est rendu sans frais. Le président : La greffière : Du 17 décembre 2009 Le dispositif de l'arrêt qui précède est communiqué par écrit aux intéressés. La greffière : Du L'arrêt qui précède, dont la rédaction a été approuvée à huis clos, est notifié à : ‑ A.K.________, ‑      Mme la Tutrice générale,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