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505 vom 1. Juli 2010</w:t>
      </w:r>
    </w:p>
    <w:p>
      <w:r>
        <w:t>VD Tribunal cantonal, 2010-07-01, FR</w:t>
      </w:r>
    </w:p>
    <w:p>
      <w:r>
        <w:rPr>
          <w:b/>
        </w:rPr>
        <w:t xml:space="preserve">Quelle: </w:t>
      </w:r>
      <w:r>
        <w:t>https://mcp.opencaselaw.ch/entscheid/vd_findinfo_Arr_t___2010___505</w:t>
      </w:r>
    </w:p>
    <w:p>
      <w:r>
        <w:t>FR: VD_FINDINFO Arrêt / 2010 / 505 du 1 juillet 2010</w:t>
      </w:r>
    </w:p>
    <w:p>
      <w:r>
        <w:t>IT: VD_FINDINFO Arrêt / 2010 / 505 del 1 luglio 2010</w:t>
      </w:r>
    </w:p>
    <w:p>
      <w:pPr>
        <w:pStyle w:val="Heading2"/>
      </w:pPr>
      <w:r>
        <w:t>Regeste</w:t>
      </w:r>
    </w:p>
    <w:p>
      <w:r>
        <w:t>RENTE D'INVALIDITÉ, RÉVISION DE LA RENTE, APPRÉCIATION ANTICIPÉE DES PREUVES | 28 LAI, 4 al. 1 LAI, 17 LPGA, 8 al. 1 LPGA</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Les délais en jours ou en mois fixés par la loi ou par l’autorité ne courent pas du 18 décembre au 2 janvier inclusivement (art. 38 al. 4 let. c LPGA). En l'espèce, le recours a été interjeté en temps utile, le 12 janvier 2009, contre la décision du 9 décembre 2008 de l'OAI auprès du tribunal compétent. Respectant pour le surplus les conditions de formes prévues par la loi (art. 61 let. b LPGA notamment), le recours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cantonal des assurances, est compétente pour statuer (art. 93 al. 1 let. a LPA-VD).</w:t>
      </w:r>
    </w:p>
    <w:p>
      <w:r>
        <w:rPr>
          <w:b/>
        </w:rPr>
        <w:t>E. 2</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s'il est de 50 % au moins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TF 8C_862/2008 du 19 août 2009 consid. 4.2 et les arrêts cités).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350, consid. 3b/cc; TF 8C_862/2008 du 19 août 2009 consid. 4.2 et les arrêts cités). c) Selon la jurisprudence, la décision qui simultanément accorde une rente avec effet rétroactif et en prévoit la réduction ou la suppression correspond à une décision de révision selon l'art. 17 LPGA (ATF 130 V 343; 125 V 413 consid. 2d et les références citées).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112 V 371 consid. 2b). Le point de savoir si un tel changement s'est produit doit être tranché en comparant les faits tels qu'ils se présentaient lors de la décision initiale de rente et les circonstances régnant à l'époque de la décision litigieuse (ATF 130 V 343 consid. 3.5.2; 125 V 368 consid. 2; TF 8C_104/2009 du 14 décembre 2009 consid. 2; TF 9C_441/2008 du 10 juin 2009 consid. 4.1). En cas de rente limitée dans le temps, la date de la modification (augmentation, diminution ou suppression de la rente) est déterminée conformément à l'art. 88a RAI (règlement du 17 janvier 1961 sur l’assurance-invalidité, RS 831.201; TF I 581/06 du 25 mai 2007 consid. 4 et la référence citée). Selon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Cette principe est en particulier applicable en cas de rente limitée dans le temps (ATF 125 V 415 consid. 2; VSI 2001 p. 156 consid. 1; TFA I 437/04 du 23 juin 2005 consid. 3.1).</w:t>
      </w:r>
    </w:p>
    <w:p>
      <w:r>
        <w:rPr>
          <w:b/>
        </w:rPr>
        <w:t>E. 3</w:t>
      </w:r>
    </w:p>
    <w:p>
      <w:r>
        <w:t>a) En l'espèce, dans la décision attaquée, l'OAI a reconnu à l'assuré le droit à une rente entière d'invalidité du 1 er juillet 2006 au 31 janvier 2007, soit pour une durée limitée dans le temps. Pour sa part, le recourant conclut à l'octroi d'une demi-rente pour la période au-delà du 31 janvier 2007. b) Au vu du dossier, le recourant fait état de plusieurs problèmes de santé depuis son opération d'arthroplastie totale de la hanche gauche le 12 janvier 2006; il présente notamment les diagnostics de coxarthrose bilatérale primaire, de status après arthroplastie, de coxarthrose débutante à droite et de lombalgies chroniques sur troubles dégénératifs, ainsi que l'ont retenu les Drs X.________ (14.05.2005) et V.________ (17.10.2006). Ces diagnostics ne sont pas contestés et correspondent également aux autres pièces du dossier, notamment aux rapports déposés par le recourant. c) Dans la décision du 9 décembre 2008, l'OAI a retenu que, dans une activité adaptée, le recourant présentait une capacité de travail exigible de 100 % dès le 2 octobre 2006. Dans son rapport du 22 mai 2008, s'agissant de la capacité de travail, le Dr H.________ a indiqué que le début de l'aptitude à la réadaptation avait été fixé dès le 2 octobre 2006. Il a également relevé que l’assuré avait repris son activité à 50 % le 2 octobre 2006, précisant qu'il était établi qu’une activité adaptée était pleinement exigible depuis cette date. Pour sa part, dans son rapport du 14 mai 2008, le Dr X.________ a également mentionné que l'assuré avait repris son travail "à 50 % à partir du 02.10.07" (recte: 02.10.06). Cette date est corroborée par la lettre du 3 août 2007 adressée à l'assuré par S.________ SA, par laquelle cette entreprise a notamment décrit une incapacité de travail à 50 % du 2 octobre 2006 au 20 juillet 2007. Dès lors, le recourant ayant repris son activité professionnelle, on retiendra qu'il y a eu un changement important des circonstances propre à influencer le droit à la rente. Il y a donc eu modification de l'état de santé du recourant, respectivement de sa capacité de travail. d) S'agissant des avis médicaux dont se prévaut le recourant, le Dr V.________ a d'abord indiqué que son patient pouvait exercer une activité légère à raison de 4 à 6 heures par jour, éventuellement sans diminution de rendement (rapport du 16.10.2006). En date du 16 septembre 2008, il a certes évoqué des difficultés pour l'assuré liées à la reprise d'une activité adaptée, mais les considérations de ce praticien sur l'âge de l'intéressé, ses connaissances linguistiques et ses origines étrangères sortent du domaine médical, ainsi que l'a relevé le Dr H.________ (10.11.2008), et n'ont donc pas d'influence quant à la capacité de gain (TF 9C_45/2007 du 25 septembre 2007 consid. 5.2.1; TF I 797/06 du 21 août 2007 consid. 4). Les constatations du Dr V.________, de même que ses motivations, sont du reste peu étoffées et manquent quelque peu de précision, au regard notamment de l'examen du Dr X.________. L'avis du Dr V.________ est notamment contradictoire, dès lors qu'il a en premier lieu admis une capacité de travail dans une activité légère à raison de 4 à</w:t>
      </w:r>
    </w:p>
    <w:p>
      <w:r>
        <w:rPr>
          <w:b/>
        </w:rPr>
        <w:t>E. 6</w:t>
      </w:r>
    </w:p>
    <w:p>
      <w:r>
        <w:t>Partant, le recours doit être rejeté. En dérogation à l'art. 61 let. a LPGA, la procédure de recours en matière de contestations portant sur l'octroi ou le refus de prestations de l'AI devant le tribunal des assurances est soumise à des frais de justice (art. 69 al. 1bis LAI). Ceux-ci doivent être mis à la charge du recourant, qui succombe (art. 49 LPA-VD). Il n'y a pas lieu d'allouer de dépens au recourant, celui-ci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