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48 vom 17. Dezember 2009</w:t>
      </w:r>
    </w:p>
    <w:p>
      <w:r>
        <w:t>VD Tribunal cantonal, 2009-12-17, FR</w:t>
      </w:r>
    </w:p>
    <w:p>
      <w:r>
        <w:rPr>
          <w:b/>
        </w:rPr>
        <w:t xml:space="preserve">Quelle: </w:t>
      </w:r>
      <w:r>
        <w:t>https://mcp.opencaselaw.ch/entscheid/vd_findinfo_Arr_t___2010___48</w:t>
      </w:r>
    </w:p>
    <w:p>
      <w:r>
        <w:t>FR: VD_FINDINFO Arrêt / 2010 / 48 du 17 décembre 2009</w:t>
      </w:r>
    </w:p>
    <w:p>
      <w:r>
        <w:t>IT: VD_FINDINFO Arrêt / 2010 / 48 del 17 dicembre 2009</w:t>
      </w:r>
    </w:p>
    <w:p>
      <w:pPr>
        <w:pStyle w:val="Heading2"/>
      </w:pPr>
      <w:r>
        <w:t>Regeste</w:t>
      </w:r>
    </w:p>
    <w:p>
      <w:r>
        <w:t>INTERDICTION, TUTELLE, MALADIE MENTALE, PRIVATION DE LIBERTÉ À DES FINS D'ASSISTANCE, PROPORTIONNALITÉ | 369 CC, 397a CC, 380 CPC, 393 CPC, 398a CPC, 398d CPC</w:t>
      </w:r>
    </w:p>
    <w:p>
      <w:pPr>
        <w:pStyle w:val="Heading2"/>
      </w:pPr>
      <w:r>
        <w:t>Erwägungen</w:t>
      </w:r>
    </w:p>
    <w:p>
      <w:r>
        <w:rPr>
          <w:b/>
        </w:rPr>
        <w:t>E. 1</w:t>
      </w:r>
    </w:p>
    <w:p>
      <w:r>
        <w:t>Le recours est dirigé contre la décision de la justice de paix prononçant l'interdiction civile à forme de l'art. 369 CC (Code civil suisse du 10 décembre 1907, RS 210) de A.C.________ et ordonnant son placement à des fins d'assistance en application des art. 397a CC et 398a CPC (Code de procédure civile vaudoise du 14 décembre 1966, RSV 270.11). Il convient d'examiner successivement l'appel contre l'interdiction civile puis le recours contre la privation de liberté à des fins d'assistance. A. Appel :</w:t>
      </w:r>
    </w:p>
    <w:p>
      <w:r>
        <w:rPr>
          <w:b/>
        </w:rPr>
        <w:t>E. 2</w:t>
      </w:r>
    </w:p>
    <w:p>
      <w:r>
        <w:t>a) Conformément à l'art. 393 al. 1 CPC,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 et 170; Poudret/Haldy/Tappy, Procédure civile vaudoise,</w:t>
      </w:r>
    </w:p>
    <w:p>
      <w:r>
        <w:rPr>
          <w:b/>
        </w:rPr>
        <w:t>E. 3</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 p. 763; CTUT, 13 juillet 2004/125). Dans le canton de Vaud, la procédure en matière d'interdiction est régie par les art. 379 ss CPC, sous réserve des règles de procédure fédérale définies aux art. 373 à 375 CC. a) Selon l'art. 379 al. 1 CPC, les demandes d'interdiction formées par les particuliers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A.C.________ était domicilié à Lausanne lorsque l'autorité tutélaire a ordonné l'ouverture d'une enquête en sa faveur le 31 janvier 2008. Cependant, domicilié à Renens depuis le 21 janvier 2009, la Justice de paix du district de l'Ouest lausannois était compétente pour décider de l'institution éventuelle d'une tutelle. La juge de paix a procédé à une enquête. Elle a requis l'avis de la Municipalité de Lausanne qui a déclaré qu'elle n'estimait pas nécessaire de prononcer l'interdiction civile de A.C.________ par lettre du 6 janvier 2009, une mesure de curatelle étant à son avis suffisante. Elle a ordonné une expertise médicale et a soumis le rapport d'expertise psychiatrique des Dresses Mullor et Pittet du 17 mars 2009 au Conseil de santé, qui a déclaré ne pas avoir d'observation à formuler par courrier du 22 mars 2009. La juge de paix a ensuite transmis le dossier au Ministère public qui a préavisé, dans une correspondance du 16 avril 2009, en faveur de l'interdiction civile de A.C.________. Au terme de l'enquête, la juge de paix a déféré la cause à la justice de paix qui a procédé à l'audition du dénoncé lors de sa séance du 11 juin 2009 avant de statuer. Le droit d'être entendu de A.C.________ a ainsi été respecté. Il s'ensuit que la décision attaquée est formellement correcte et qu'elle peut être examinée quant au fond.</w:t>
      </w:r>
    </w:p>
    <w:p>
      <w:r>
        <w:rPr>
          <w:b/>
        </w:rPr>
        <w:t>E. 4</w:t>
      </w:r>
    </w:p>
    <w:p>
      <w:r>
        <w:t>L'interdiction de A.C.________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nos 116 ss, pp. 36 ss). Les conditions du besoin spécial de protection susmentionnées sont alternatives (TF 5C.262/2002 du 6 mars 2003, in FamPra.ch 2003, p. 737 ).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TF 5C.74/2003 du 3 juillet 2003, in FamPra.ch 2003, p. 975; TF 5A_568/2007 du 4 février 2008). Le but d'une mesure tutélaire est de protéger le faible contre lui-même et l'exploitation par des tiers. Une mesure est disproportionnée si elle est trop radicale ou trop faible pour atteindre ce but (TF 5C.74/2003  précité ; Affolter, Commentaire bâlois, 3 e éd., n. 60 ad art. 406 CC, p.2040 ; Stettler, Droit Civil I, Représentation et protection de l'adulte, 4 e éd., n. 80, pp 42-43). La tâche d'assister le pupille sur un plan personnel peut être confiée non seulement à un tuteur mais aussi à un conseil légal (ATF 96 II 369 c. 1d, pp. 373-374). Toutefois, l'assistance personnelle ne doit pas être le principal objet de la protection par un conseil légal. Celui-ci tend à préserver en premier lieu les intérêts - ou l'existence - économiques de la personne à assister (ATF 108 II 92 c. 4 p. 94; 103 II 81, TF 5C.92/1999 du 20 mai 1999 c. 4b); il ne saurait, en revanche, garantir une protection suffisante lorsqu'une surveillance et une aide personnelles durables sont nécessaires, seul le tuteur a les moyens de mettre en œuvre une protection étendue (art. 406 CC; ATF 97 II 302; TF 5C.74/2003 précité; TF 5A_389/2007 du 19 septembre 2007 c. 4.2, TF 5C.17/2005 du 8 avril 2005 c. 5.3). D'éventuelles mesures contraignantes relèvent de la compétence du tuteur (art. 406 al. 2 CC; Stettler, op.cit., n. 305, pp 135-136 et la jurisprudence citée). Le Conseil légal, qui n'est pas un représentant légal, ne peut en effet ni donner d'instructions ni user de contrainte envers la personne assistée, il ne peut demander un placement dans un établissement ni ordonner un traitement ambulatoire (ATF 96 précité). b) En l'espèce, il ressort du rapport d'expertise du 17 mars 2009 que l'appelant est atteint de troubles neuropsychologiques mnésiques et exécutifs dont il nie les effets, d'un trouble de la personnalité à traits paranoïaques et de troubles du comportement. Un cause d'interdiction au sens de l'art. 369 CC est ainsi réalisée. Le besoin de protection de A.C.________ est également avéré. En effet, il ressort de l'expertise que les troubles neuropsychologiques et le trouble de la personnalité, qui sont aggravés par un mode de fonctionnement rigide et des difficultés relationnelles, font que l'expertisé n'est pas en mesure de gérer ses affaires sans les compromettre. Une mesure moins incisive que celle prononcée n'est ainsi pas envisageable dans la mesure où l'appelant a besoin d'une assistance personnelle de façon durable afin de consolider et de préserver les améliorations apparues depuis l'instauration de la mesure de tutelle provisoire. Au demeurant, A.C.________ ne conteste pas dans son acte de recours le principe même de son interdiction qu'il souhaite cependant être volontaire et requiert même que [...] de l'OTG continue à être son tuteur. Sa requête de tutelle volontaire à forme de l'art. 372 CC ne peut cependant pas être admise dans la mesure où la décision querellée doit être confirmée pour les motifs exposés ci-dessus. L'interdiction civile de l'appelant est par conséquent justifiée au regard de l'art. 369 CC et conforme au principe de proportionnalité. Son appel doit donc être rejeté. B. Recours contre la privation de liberté à des fins d'assistance :</w:t>
      </w:r>
    </w:p>
    <w:p>
      <w:r>
        <w:rPr>
          <w:b/>
        </w:rPr>
        <w:t>E. 5</w:t>
      </w:r>
    </w:p>
    <w:p>
      <w:r>
        <w:t>a) 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 b) Interjeté en temps utile par l'intéressé lui-même, le présent recour s est recevable à la forme . Le recours a été soumis au Ministère public qui a fait siens les considérants du dispositif rendu par la justice de paix du 11 juin 2009.</w:t>
      </w:r>
    </w:p>
    <w:p>
      <w:r>
        <w:rPr>
          <w:b/>
        </w:rPr>
        <w:t>E. 6</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A.C.________ était domicilié à Lausanne lorsque l'autorité tutélaire a ordonné l'ouverture d'une enquête en sa faveur le 31 janvier 2008. Cependant, domicilié à Renens depuis le 21 janvier 2009, la Justice de paix du district de l'Ouest lausannois était compétente pour prendre la décision querellée. Elle a procédé in corpore à l'audition de l'intéressé lors de sa séance du</w:t>
      </w:r>
    </w:p>
    <w:p>
      <w:r>
        <w:rPr>
          <w:b/>
        </w:rPr>
        <w:t>E. 11</w:t>
      </w:r>
    </w:p>
    <w:p>
      <w:r>
        <w:t>juin 2009, de sorte que son droit d'être entendu a été respecté. b) Les art. 397e ch. 5 CC et 398a al. 5 CPC exigent le concours d'experts lorsque le placement est motivé par l'état de santé de l'intéressé (FF 1977 III 33; Katz, Privation de liberté à des fins d'assistance, thèse, Lausanne 1983, pp. 94 et 95; JT 1987 III 12; CTUT, 25 mars 2003/39). Aucune exigence précise n'est formulée quant à la personne de l'expert;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La loi n'exige pas que le médecin consulté soit étranger à l'établissement de placement (Poudret/Haldy/Tappy, op.cit., n. 2 ad art. 398a CPC, p. 606 et réf. citées). Lorsque l'autorité statue par une mesure provisoire, elle peut se contenter, dans certaines circonstances, d'entendre l'intéressé seul et se fonder sur un simple rapport médical, même oral (JT 2005 III 51 c. 2c). Dans le cas présent, la décision attaquée se fonde sur le rapport d'expertise établi le 17 mars 2009 par les Dresses Mullor et Pittet, respectivement médecin hospitalier et médecin assistante au Centre d'expertise du CHUV . Les auteurs de ce rapport étant des experts en psychiatrie ne s'étant pas déjà prononcés dans la même procédure sur l'état de santé de l'intéressé avant le rapport du 17 mars 2009, elles remplissent les exigences posées par la jurisprudence pour assumer la fonction d'experts. La décision entreprise est donc formellement correcte et peut être examinée sur le fond. 7. A.C.________ conteste la mesure de privation de liberté à des fins d'assistance d'une durée indéterminée prononcée à son encontre . a) 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op.cit.,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op.cit., nos 1169 ss, pp. 437 et 438; FF 1977 III, pp. 28 et 29;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b) En l'espèce, il résulte du rapport d'expertise du 17 mars des Dresses Mullor et Pittet que le recourant est atteint de troubles neuropsychologiques mnésiques et exécutifs dont il nie les effets, d'un trouble de la personnalité à traits paranoïaques et de troubles du comportement. Il est dès lors établi que le recourant souffre de troubles mentaux importants et qu'une des causes de privation de liberté à des fins d'assistance prévues par l'art. 397a al. 1 CC est réalisée. Il résulte également du rapport d'expertise qu'il a besoin d'une assistance personnelle. Il convient toutefois de déterminer si cette assistance ne peut lui être fournie que dans le cadre d'une hospitalisation. Il résulte du dossier de première instance que A.C.________ n'est pas en mesure de gérer ses affaires sans les compromettre et que sa situation a été précaire jusqu'à ce que sa tutrice provisoire ordonne son placement d'urgence à des fins d'assistance à l'Hôpital de Cery le 13 novembre 2008. Il résulte de la lettre du Dr  [...] et de la Dresse [...] du 16 janvier 2009, de l'expertise du 17 mars 2009 et de la lettre de l'OTG du 12 février 2009 que le recourant a été placé, avec son épouse en appartement protégé dès le 21 janvier 2009. Dans ce cadre, il bénéficie, parallèlement au mandat de tutelle provisoire confié à la Tutrice générale, d'un suivi rapproché d'un éducateur et d'un suivi infirmier du CMS. Les experts ont qualifié ce projet de vie d'adéquat dans leur expertise. Selon la lettre du 11 décembre 2009 de Daniel Studer de l'OTG, A.C.________ et B.C.________ vivent toujours en appartement protégé mais sont sur le point d'entamer un sevrage volontaire à Cery, de sorte que selon lui une mesure de privation de liberté à des fins d'assistance ne se justifie pas pour le moment. Vu ce qui précède il y a lieu de considérer que les mesures mises en place par les services de la Tutrice générale ont permis de stabiliser la situation des époux [...] qui vivent selon les dernières indications fournies dans un appartement protégé où le cadre de vie du recourant s'est stabilisé, de sorte qu'ordonner en l'état une privation de liberté à des fins d'assistance n'est ni nécessaire ni proportionnée. En effet et comme l'ont relevé les différents intervenants, l'éducateur spécialisé et les services du CMS peuvent toujours en tant que besoin avertir la Tutrice générale et /ou le médecin traitant si la situation venait à se péjorer une nouvelle fois. Cette dernière, dont la désignation en tant que tutrice a été confirmée, pourra prendre toute mesure utile et nécessaire. On peut enfin relever que selon la lettre de l'OTG du 11 décembre 2009, il apparaît que l'évolution des époux [...] continue de s'améliorer, ces derniers ayant accepté de suivre prochainement un sevrage volontaire à l'Hôpital de Cery. Par conséquent, le recours de A.C.________ doit être admis en ce sens qu'il est renoncé à son placement à des fins d'assistance. 8. En définitive, l'appel interjeté par A.C.________ doit être rejeté mais son recours admis, le jugement entrepris devant être réformé en ce sens que le chiffre IX est supprimé. Le présent arrêt peut être rendu sans frais (art. 236 al. 2 TFJC, tarif des frais judiciaires en matière civile du 4 décembre 1984, RSV 270.11.5). Par ces motifs, la Chambre des tutelles du Tribunal cantonal, statuant à huis clos, prononce : I. L'appel contre l'interdiction civile est rejeté. II . Le recours contre la mesure de privation de liberté à des fins d'assistance est admis. III. Le jugement est réformé comme il suit au chiffre IX de son dispositif: IX. supprimé. Le jugement est confirmé pour le surplus. IV .      L'arrêt est rendu sans frais. Le président : La greffière : Du 17 décembre 2009 Le dispositif de l'arrêt qui précède est communiqué par écrit aux intéressés. La greffière: Du L'arrêt qui précède, dont la rédaction a été approuvée à huis clos, est notifié à : ‑      M. A.C.________, ‑      Mme la Tutrice générale,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