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415 vom 16. März 2010</w:t>
      </w:r>
    </w:p>
    <w:p>
      <w:r>
        <w:t>VD Tribunal cantonal, 2010-03-16, FR</w:t>
      </w:r>
    </w:p>
    <w:p>
      <w:r>
        <w:rPr>
          <w:b/>
        </w:rPr>
        <w:t xml:space="preserve">Quelle: </w:t>
      </w:r>
      <w:r>
        <w:t>https://mcp.opencaselaw.ch/entscheid/vd_findinfo_Arr_t___2010___415</w:t>
      </w:r>
    </w:p>
    <w:p>
      <w:r>
        <w:t>FR: VD_FINDINFO Arrêt / 2010 / 415 du 16 mars 2010</w:t>
      </w:r>
    </w:p>
    <w:p>
      <w:r>
        <w:t>IT: VD_FINDINFO Arrêt / 2010 / 415 del 16 marzo 2010</w:t>
      </w:r>
    </w:p>
    <w:p>
      <w:pPr>
        <w:pStyle w:val="Heading2"/>
      </w:pPr>
      <w:r>
        <w:t>Regeste</w:t>
      </w:r>
    </w:p>
    <w:p>
      <w:r>
        <w:t>CLASSEMENT DE LA PROCÉDURE, ESCROQUERIE | 146 CP, 176 CPP, 296 CPP</w:t>
      </w:r>
    </w:p>
    <w:p>
      <w:pPr>
        <w:pStyle w:val="Heading2"/>
      </w:pPr>
      <w:r>
        <w:t>Volltext</w:t>
      </w:r>
    </w:p>
    <w:p>
      <w:r>
        <w:t>Vaud Tribunal cantonal Tribunal d'accusation 16.03.2010 Arrêt / 2010 / 415</w:t>
      </w:r>
    </w:p>
    <w:p>
      <w:r>
        <w:t>CLASSEMENT DE LA PROCÉDURE, ESCROQUERIE | 146 CP, 176 CPP, 296 CPP</w:t>
      </w:r>
    </w:p>
    <w:p>
      <w:r>
        <w:t>TRIBUNAL CANTONAL 137 TRIBUNAL D'ACCUSATION _________________________________ Séance du 16 mars 2010 _____________________ Présidence de   M. Meylan , président Juges : M.        Krieger et Mme Byrde Greffière : Mme   Brabis ***** Art. 176, 296 CPP Vu la plainte déposée le 23 février 2010 par B.________ contre X.________ pour escroquerie, vu l'ordonnance du 1 er mars 2010, par laquelle le Juge d'instruction de l'arrondissement du Nord vaudois a refusé de suivre à la plainte et a laissé les frais à la charge de l'Etat ( dossier n° PE10.004766-PGT ), vu le recours exercé en temps utile par B.________ contre cette décision, vu les pièces du dossier; attendu que B.________ a déposé plainte le 23 mars 2010 contre X.________ pour escroquerie, qu'il reproche au prévenu de lui avoir vendu une voiture de marque Mercedes au mois d'octobre 2009, en dissimulant le fait que ce véhicule était sous contrat de leasing auprès de la banque J.________ à Paris en France, que par ordonnance du 1 er mars 2010, le magistrat instructeur a refusé de suivre à la plainte, considérant que l'infraction d'escroquerie n'était pas réalisée, que B.________ conteste cette décision; attendu que des motifs de fond ne justifient un refus de suivre que s'ils permettent d'exclure d'emblée et avec certitude une condamnation ou une déclaration de culpabilité (TAcc., C. SA, 15 décembre 1988/550; Bovay / Dupuis / Monnier / Moreillon / Piguet, Procédure pénale vaudoise, 3 ème éd., Bâle 2008, n. 1 ad art. 176 CPP, p. 201); attendu que 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s 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 4.4.3; ATF 128 IV 18 c. 3a), que l'astuce n'est toutefois pas réalisée si la dupe pouvait se protéger avec un minimum d'attention ou éviter l'erreur avec le minimum de prudence que l'on pouvait attendre d'elle (TF 6S.417/2005 du 24 mars 2006 c. 1; ATF 128 IV 18 c. 3a; ATF 126 IV 165 c. 2a), qu'en l'espèce, les documents relatifs à la voiture achetée par le plaignant mentionne que J.________ est la propriétaire de ce véhicule, qu'il suffisait dès lors à B.________ de parcourir ce document qui ne laisse planer aucun doute sur la propriété dudit véhicule, que X.________ n'a dès lors pas eu recours à un édifice de mensonges, à des manœuvres frauduleuses ou à une mise en scène ni n'a donné de fausses informations au plaignant, que, partant, l'astuce n'étant pas réalisée, l'infraction d'escroquerie ne peut être retenue à l'encontre du prévenu, que toute condamnation peut dès lors être exclue, que c'est donc à juste titre que le magistrat instructeur a refusé de suivre à la plainte du recourant, qu'en outre, se pose la question de la qualité pour déposer plainte de B.________, qu'en effet, seul le lésé, soit celui dont le bien juridique est directement atteint par l'infraction, a le droit de déposer plainte (Favre / Pellet / Stoudmann, Code pénal annoté, Lausanne 2007, n. 1.4 ad art. 30 CP, p. 124), que celui qui n'est atteint que de manière indirecte n'a pas la qualité pour déposer plainte (ibidem), qu'en l'espèce, J.________ est la lésée directe de la vente du véhicule par X.________, étant donné qu'elle est la propriétaire de cette voiture, que B.________ n'aurait, de ce fait, pas la qualité pour déposer plainte, que le litige séparant les parties étant exclusivement civil, cette question n'a cependant pas à être tranchée;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330 fr. (trois cent trente francs), sont mis à la charge de B.________. IV. Déclare l'arrêt exécutoire. L e président : L a greffi ère : Du L'arrêt qui précède, dont la rédaction a été approuvée à huis clos, est notifié au recourant, ainsi qu'au Ministère public, par l'envoi d'une copie complète : -      M. B.________.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