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374 vom 13. Januar 2010</w:t>
      </w:r>
    </w:p>
    <w:p>
      <w:r>
        <w:t>VD Tribunal cantonal, 2010-01-13, FR</w:t>
      </w:r>
    </w:p>
    <w:p>
      <w:r>
        <w:rPr>
          <w:b/>
        </w:rPr>
        <w:t xml:space="preserve">Quelle: </w:t>
      </w:r>
      <w:r>
        <w:t>https://mcp.opencaselaw.ch/entscheid/vd_findinfo_Arr_t___2010___374</w:t>
      </w:r>
    </w:p>
    <w:p>
      <w:r>
        <w:t>FR: VD_FINDINFO Arrêt / 2010 / 374 du 13 janvier 2010</w:t>
      </w:r>
    </w:p>
    <w:p>
      <w:r>
        <w:t>IT: VD_FINDINFO Arrêt / 2010 / 374 del 13 gennaio 2010</w:t>
      </w:r>
    </w:p>
    <w:p>
      <w:pPr>
        <w:pStyle w:val="Heading2"/>
      </w:pPr>
      <w:r>
        <w:t>Regeste</w:t>
      </w:r>
    </w:p>
    <w:p>
      <w:r>
        <w:t>CONSEIL LÉGAL{MESURE TUTÉLAIRE}, TUTELLE, CURATELLE DE GESTION, PROPORTIONNALITÉ | 370 CC, 393 ch. 2 CC, 395 al. 1 CC, 395 al. 2 CC</w:t>
      </w:r>
    </w:p>
    <w:p>
      <w:pPr>
        <w:pStyle w:val="Heading2"/>
      </w:pPr>
      <w:r>
        <w:t>Erwägungen</w:t>
      </w:r>
    </w:p>
    <w:p>
      <w:r>
        <w:rPr>
          <w:b/>
        </w:rPr>
        <w:t>E. 1</w:t>
      </w:r>
    </w:p>
    <w:p>
      <w:r>
        <w:t>L'appel est dirigé contre une décision de la justice de paix instituant une mesure de tutelle, à forme de l'art. 370 CC (Code civil suisse du 10 décembre 1907, RS 210), en faveur de l'appelant. Conformément à l'art. 393 al. 1 CPC (Code de procédure civile vaudoise du 14 décembre 1966, RSV 270.11),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169-170; Poudret/Haldy/Tappy, Procédure civi­le vaudoi­se, 3 ème éd., Lausanne 2002, note ad art. 393 CPC, p. 599; CTUT, 23 juin 2005, n o 94). En l'espèce, interjeté en temps utile par la personne interdite, le présent appel est recevable formellement.</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Dans le canton de Vaud, la procédure en matière d'interdiction est régie par les art. 379 ss CPC, sous réserve des règles de procédure fédérales définies aux art. 373 à 375 CC. a) Selon l'art. 379 al. 1 CPC,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 Justice de paix du district de Lausanne était compé­tente, vu le domicile de l'appelant à [...] lors de l'ouverture de l'enquête le 13 février 2008 (art. 376 al. 1 CC, 379 et 380a al. 1 CPC), soit avant le nouveau découpage territorial intervenu le 1 er novembre 2008. Le juge de paix a procédé à une enquête et a requis l'avis de la Municipalité de [...], qui, par lettre du 28 avril 2008, a notamment indiqué que A.H.________ était inconnu de ses services, mais qu'au vu des éléments recueillis dans les rapports de renseignements établis par la police intercommunale, elle préavi­sait en faveur d'une aide extérieure en sa faveur. Il a ordonné une expertise psychia­trique, ainsi qu'un complément d'expertise. Il a soumis les rapports du Professeur J. Gasser et de la Dresse D. Mullor des 10 septembre 2008 et 19 février 2009 au Con­seil de santé, qui a déclaré ne pas avoir d'observation à for­muler. Le juge de paix a également transmis ces rapports au Ministère public, lequel a préavisé favorablement à l'instauration d'une curatelle de gestion de biens au sens de l'art. 393 ch. 2 CC. Au terme de l'enquête, le juge de paix a déféré la cause à la justice de paix qui a enten­du le dénoncé, son épouse et le tuteur provisoire lors de sa séance du 11 juin 2009 avant de rendre la décision querellée. Il s'ensuit que le jugement attaqué est formellement correct et qu'il peut être examiné quant au fond.</w:t>
      </w:r>
    </w:p>
    <w:p>
      <w:r>
        <w:rPr>
          <w:b/>
        </w:rPr>
        <w:t>E. 3</w:t>
      </w:r>
    </w:p>
    <w:p>
      <w:r>
        <w:t>L'interdiction de A.H.________ a été prononcée pour mauvaise gestion, en application de l'art. 370 CC. a) A teneur de l'art. 370 CC, sera pourvu d'un tuteur tout majeur qui, par ses prodigalités, son ivrognerie, son inconduite ou sa mauvaise gestion, s'expose, lui ou sa famille, à tomber dans le besoin, ne peut se passer de soins et secours perma­nents ou menace la sécurité d'autrui. La mauvaise gestion consiste en une gestion défectueuse, une négli­gence extraordinaire dans l'administration de sa propre fortune, qui doit avoir sa cause subjective dans la faiblesse de l'intelligence ou de la volonté. Elle résulte d'un penchant durable à une gestion déraisonnable des biens économiques. La notion de mauvaise gestion doit être interprétée restrictivement. Elle doit être admise en premier lieu lorsqu'une fortune existante est administrée de manière insensée et incompréhensible; il faut cependant aussi comprendre par là la manière de gagner sa vie, de telle sorte que peut être interdit celui qui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 TF 5A.187/2007 du 13 août 2007 c. 3.1; TF 5C.131/2006 du 17 octobre 2006 c. 4.1, in RDT 2007, p. 81). Une interdiction fondée sur l'art. 370 CC suppose un besoin spécial de protection (condition d'interdiction), à savoir, selon la disposition précitée, le besoin de soins et secours permanents, le risque de tomber dans le besoin, ou la menace pour la sécurité d'autrui. Les conditions du besoin spécial de protection susmention­nées ne sont pas cumulatives (TF 5A.187/2007 du 13 août 2007 précité). b)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Personnes physiques et tutelle,</w:t>
      </w:r>
    </w:p>
    <w:p>
      <w:r>
        <w:rPr>
          <w:b/>
        </w:rPr>
        <w:t>E. 4</w:t>
      </w:r>
    </w:p>
    <w:p>
      <w:r>
        <w:t>L'appelant conteste que l'on puisse lui imputer une mauvaise gestion, nie ne pouvoir se passer de soins ou de secours permanents et reproche à son inter­diction civile d'être à la fois inutile et disproportionnée. a) Lors de l'audience de la justice de paix du 9 octobre 2008, l'appelant a déclaré avoir perdu ses économies à la bourse, soit un montant de 200'000 fr. à 300'000 et s'être endetté de plusieurs centaines de milliers de francs. Il s'est laissé taxer d'office durant plusieurs années ce qui l'a mené à devoir payer davantage d'im­pôts que si ces revenus effectifs avaient été normalement imposés. Il a aussi indiqué aux experts psychiatriques ne pas avoir pu payer son assurance maladie depuis plus de trois mois, avoir accumulé un découvert de 20'000 fr. avec sa carte de crédit et être en retard dans le paiement de ses charges de PPE. Eu égard aux explications recueillies à l'audience de la justice de paix du 11 juin 2009, le produit de la vente de son appartement devait intégralement être consacré à l'extinction de diverses dettes, notamment de pensions alimentaires et de primes d'assurance maladie, le total de l'endettement étant supérieur à 800'000 francs. Il est avéré que la perte de la fortune de l'appelant est étroitement liée à l'activité de trader indépendant qu'il a voulu maintenir, nonobstant les pertes réguliè­rement accumulées année après année. Compte tenu de sa durée, cette gestion défectueuse n'est pas principalement imputable à de mauvaises affaires passagères, mais trouve son origine dans des traits de personnalité de l'appelant mis en évidence par l'expertise du 10 septembre 2008, soit un fonctionnement de personnalité relati­vement rigide et une tendance à l'obstination. De manière générale, sujet à une personnalité à traits procéduriers et narcissiques, il se remet peu en question, sa capa­cité introspective étant limitée, se reconnaît péniblement comme acteur de la situa­tion difficile dans laquelle il se trouve et tend à attri­buer l'origine de ses problèmes aux autres et aux éléments extérieurs. S'y ajoutent une haute estime de lui-même, une tendance à surestimer ses capacités, notamment sur le plan professionnel, l'amenant à voir dans la poursuite de son activité indépendante le seul moyen pour lui de rem­bourser ses dettes et de gérer ses soucis financiers, à condition de le faire dans un climat serein. Ces traits de personnalité relèvent d'une faiblesse de caractère, soit d'un manque de lucidité et d'une incapacité de tirer un enseignement raisonnable de l'échec de son activité de trader tant en ce qui concerne la gestion de son propre patrimoine que celle des valeurs patrimoniales que des tiers lui ont confiée. Dès lors qu'il a perdu son propre patrimoine, peu importe à cet égard que l'appelant soit véri­tablement endetté envers ces tiers/clients ou que ses obligations à l'égard de ceux-ci soient d'ordre moral comme il le soutient. En s'entêtant à vouloir vivre de ses activités de trader indépendant en dépit de l'insuccès rencontré tout en caressant toujours l'espoir de "se refaire" grâce aux opérations suivantes, l'appelant ne s'est pas montré capable sur le long terme de réaliser un revenu suffisant, tout en s'exposant à ne plus pouvoir payer certaines de ses charges relevant du minimum vital, telles que les primes d'assurance maladie ou les frais de PPE de son habitation. Une mauvaise gestion tant de la fortune que de la capacité à vivre de son travail, mettant son existence économique en danger, doit en conséquence être constatée. L'appelant soutient que sa fortune a été consommée pour l'essentiel et qu'il va bénéficier d'aides sociales, de sorte qu'une tutelle serait inutile. Il se prévaut donc d'un changement de circonstances qui ne permettrait pas de constater un besoin de soins et de secours permanents, soit d'une incapacité de gérer ses affaires (Deschenaux/Steinauer, op. cit., n. 124 et 125). En réalité, sa fortune n'est pas intégralement dépensée. Il subsiste des montants consignés chez le notaire qui a instrumenté la vente de son appartement et le tuteur provisoire a reçu en juillet 2009 l'autorisation de prélever 70'000 fr. sur un compte bancaire ouvert au nom de l'appe­lant pour couvrir les frais courants de celui-ci. En tant qu'il concerne le patrimoine, un besoin de protection subsiste donc. Il en va de même de la relance et de la recher­che d'une activité lucrative salariée liée à la nécessité de se procurer de quoi couvrir son minimum vital et de payer ses charges minimales. b) Au vu des éléments qui précèdent, l'objectif de la mesure de protec­tion consiste à aider l'appelant à réorienter son activité professionnelle, celle défici­taire de trader indépendant l'ayant conduit à une mauvaise gestion, et à reprendre pied dans le monde du travail, pour qu'il réalise à nouveau comme salarié des revenus lui permettant de subvenir à ses besoins et à ceux des siens, de stopper la spirale de son endettement et d'entrepren­dre de l'amortir ou du moins d'assainir sa situation financière. aa) Dans son préavis du 22 avril 2009, le Ministère public a proposé une curatelle de gestion de biens au sens de l'art. 393 ch. 2 CC. Le tuteur provisoire a exprimé le même avis lors de l'audience de la justice de paix du 11 juin 2009, alors que l'appelant a déclaré s'opposer aussi bien à une tutelle qu'à une curatelle, s'esti­mant capable de gérer ses affaires administratives et de solliciter lui-même au besoin l'aide d'un tiers. En l'espèce, compte tenu de la tendance marquée de l'appelant à dilapi­der le reliquat de sa fortune et à peiner à se convaincre de la nécessi­té  et de l'urgence à abandonner son activité de trader indépendant , non dépourvue de narcis­sisme, une mise sous curatelle pour la seule gestion de biens apparaît clairement comme une mesure inefficace. En effet, la personne sous cura­telle conserve l'exercice de ses droits civils (art. 417 al. 1 CC) et une telle mesure présuppose une volonté de collaborer du pupille (TF 5C.262/2002 du 6 mars 2003, in Fam.Pra.ch 2003 c. 4.1, p. 737), qui, dans le cas présent, a toujours fait défaut. Au demeurant, une mesure de curatelle de gestion ne permet pas une certaine assistan­ce personnelle au pupille (Deschenaux/Steinauer, op. cit., n. 868 et n. 1155; ATF 96 II 369, JT 1972 I 66), qui s'avère nécessaire pour le bien de l'appe­lant. bb) La décision entreprise retient qu'un curateur ne serait pas garant d'une intervention suffisamment efficace, et que l'institution d'une tutelle paraît indispensa­ble jusqu'à ce que l'appelant trouve un emploi et que sa situation se stabilise. En l'occurrence, l'appelant invoque l'inopportunité de son interdiction qui l'empêcherait de trouver un travail dans la finance ou la comptabilité. La cour, sensi­ble aux arguments de l'appelant, reconnaît que, compte tenu de son âge et de son parcours professionnel, la recherche d'un poste de cadre bancaire ou financier risque d'être malaisée. L'institution d'une mesure de tutelle, qui priverait l'appelant de l'exer­cice de ses droits civils, l'entraverait dans l'optique de retrouver un emploi stable. Se pose donc la question de savoir si une mesure moins incisive qu'une interdiction mais plus qu'une curatelle de gestion des biens (supra let. aa) est envisageable. cc) L'institution d'une curatelle de conseil légal (art. 395 CC) constitue une tutelle atténuée, la capacité civile active du pupille étant supprimée pour un certain nombre d'actes (Deschenaux/Steinauer, op. cit., n. 170). Celui qui est assisté d'un conseil légal coopérant a la capacité civile active pour la plupart des actes qu'il accomplit, mais pour les actes énumérés à l'art. 395 al. 1 CC, actes d'administration particulièrement im­portants dont il est difficile d'apprécier la portée, sa capacité est subordonnée au con­sen­te­ment de son conseil légal (Deschenaux/Steinauer, op. cit., n. 178).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Le conseil légal combiné est une addition des deux mesures de l'art. 395 CC. La personne protégée est privée de l'administration de ses biens et ne peut pas disposer librement de ses revenus pour lesquels elle doit obtenir le con­sentement de son conseil légal pour les actes énumérés dans cette disposition. Assurément, l'institution d'un conseil légal vise au premier chef à proté­ger les intérêts économiques de la personne assistée (ATF 96 II 369, JT 1970 I 66). Dans le cas de l'appelant, une telle mesure devrait aussi suffire sur le plan d'une assistance personnelle nécessaire pour lui faciliter une reconversion professionnelle et lui permettre d'évoluer positivement. Un conseil légal combiné paraît - en l'état - être une mesure suffisante pour assurer à l'appelant la sauvegarde de ses intérêts et la protec­tion que sa situation implique, tout en se distinguant de l'interdiction par l'indépen­dance qu'il lui laisse. Cette mesure est confor­me au principe de proportion­nalité, d'au­tant que l'appelant paraît enclin à collaborer avec celui qui est son tuteur provisoire actuel - qui deviendra son conseil légal - pour trouver un emploi, et qu'il a accepté de s'inscrire à l'ORP. Si la situation devait se péjorer, le conseil légal pourra interve­nir auprès de l'autorité tutélaire pour qu'une mesure plus incisive soit éventuellement prononcée.</w:t>
      </w:r>
    </w:p>
    <w:p>
      <w:r>
        <w:rPr>
          <w:b/>
        </w:rPr>
        <w:t>E. 5</w:t>
      </w:r>
    </w:p>
    <w:p>
      <w:r>
        <w:t>En définitive, l'appel déposé par A.H.________ est partiellement admis et le jugement réformé aux chiffres II et III de son dispositif, une mesure de conseil légal combiné étant instituée. K.________, qui ne s'est pas opposé à sa nomination comme tuteur, peut être nommé en qualité de conseil légal. L'arrêt est rendu sans frais (art. 236 al. 2 TFJC, tarif du 4 décembre 1984 des frais judiciaires en matière civile, RSV 270.11.5). L'appelant n'obtenant que partiellement gain de cause, il convient de compenser les dépens de deuxième instance (art. 91 et 92 al. 2 CPC applicables par renvoi de l'art. 488 let f. CPC). Par ces motifs, la Chambre des tutelles du Tribunal cantonal, statuant à huis clos, prononce : I. Le recours est partiellement admis. II. Le jugement est réformé aux chiffres II et III de son dispositif comme il suit : II.         institue une mesure de conseil légal combiné (art. 395 al. 1 et 2 CC) en faveur de A.H.________, né le 3 septembre 1957. III.        nomme K.________ en qualité de conseil légal. Le jugement est confirmé pour le surplus. III. L'arrêt est rendu sans frais. IV. Les dépens de deuxième instance sont compensés. Le président : La greffière : Du 13 janvier 2010 Le dispositif de l'arrêt qui précède est communiqué par écrit aux intéressés. La greffière : Du L'arrêt qui précède, dont la rédaction a été approuvée à huis clos, est notifié à : ‑      Me Lionel Zeiter (pour A.H.________), ‑      Me Pierre-Xavier Luciani (pour B.H.________), - K.________,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