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368 vom 2. Februar 2010</w:t>
      </w:r>
    </w:p>
    <w:p>
      <w:r>
        <w:t>VD Tribunal cantonal, 2010-02-02, FR</w:t>
      </w:r>
    </w:p>
    <w:p>
      <w:r>
        <w:rPr>
          <w:b/>
        </w:rPr>
        <w:t xml:space="preserve">Quelle: </w:t>
      </w:r>
      <w:r>
        <w:t>https://mcp.opencaselaw.ch/entscheid/vd_findinfo_Arr_t___2010___368</w:t>
      </w:r>
    </w:p>
    <w:p>
      <w:r>
        <w:t>FR: VD_FINDINFO Arrêt / 2010 / 368 du 2 février 2010</w:t>
      </w:r>
    </w:p>
    <w:p>
      <w:r>
        <w:t>IT: VD_FINDINFO Arrêt / 2010 / 368 del 2 febbraio 2010</w:t>
      </w:r>
    </w:p>
    <w:p>
      <w:pPr>
        <w:pStyle w:val="Heading2"/>
      </w:pPr>
      <w:r>
        <w:t>Regeste</w:t>
      </w:r>
    </w:p>
    <w:p>
      <w:r>
        <w:t>RECONSIDÉRATION, SUPPRESSION DE LA PRESTATION D'ASSURANCE, DEMI-RENTE, APPLICATION DU DROIT, RECTIFICATION DE LA DÉCISION | 53 al. 2 LPGA</w:t>
      </w:r>
    </w:p>
    <w:p>
      <w:pPr>
        <w:pStyle w:val="Heading2"/>
      </w:pPr>
      <w:r>
        <w:t>Erwägungen</w:t>
      </w:r>
    </w:p>
    <w:p>
      <w:r>
        <w:rPr>
          <w:b/>
        </w:rPr>
        <w:t>E. 2</w:t>
      </w:r>
    </w:p>
    <w:p>
      <w:r>
        <w:t>Quelles activités lui sont accessibles ? Compte tenu de ses limitations physiques, il est en mesure d'assumer une activité à l'établi, derrière une machine-outil, surveillance de machine de production, travaux de conditionnement. Toutes ces activités doivent permettre l'alternance des positions. Il présente également de bonnes dispositions pour œuvrer en tant que commercial (vente, représentation, etc).</w:t>
      </w:r>
    </w:p>
    <w:p>
      <w:r>
        <w:rPr>
          <w:b/>
        </w:rPr>
        <w:t>E. 3</w:t>
      </w:r>
    </w:p>
    <w:p>
      <w:r>
        <w:t>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[règlement du 17 janvier 1961 sur l'assurance-invalidité, RS 831.201]).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w:t>
      </w:r>
    </w:p>
    <w:p>
      <w:r>
        <w:rPr>
          <w:b/>
        </w:rPr>
        <w:t>E. 3.5</w:t>
      </w:r>
    </w:p>
    <w:p>
      <w:r>
        <w:t>p. 349, 113 V 273 consid. 1a; voir également ATF 112 V 371 consid. 2b et 387 consid. 1b). Une appréciation différente d'une situation demeurée inchangée pour l'essentiel ne constitue pas un motif de révision (TFA I 491/03 du 20 novembre 2003 consid. 2.2 in fine et les références). b)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w:t>
      </w:r>
    </w:p>
    <w:p>
      <w:r>
        <w:rPr>
          <w:b/>
        </w:rPr>
        <w:t>E. 4</w:t>
      </w:r>
    </w:p>
    <w:p>
      <w:r>
        <w:t>a) En l'espèce, l'OAI a dans un premier temps alloué une demi-rente à l'assuré (décision du 5 octobre 1998). Il s'était alors fondé sur l'enquête économique pour les indépendants, qui avait retenu un préjudice économique subi de 50%. Cela étant, à aucun moment au cours de la procédure administrative, la situation du recourant n'a été examinée sous l'angle de l'atteinte à la santé et de son implication sur sa capacité résiduelle de travail. Or,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(TFA I 210/02 du 11 décembre 2002 et la jurisprudence citée). L'office intimé aurait donc dû procéder selon la méthode générale de la comparaison des revenus réglée par l'art. 28 al. 2 LAI alors en vigueur (actuellement, art. 16 LPGA). Telle a été en revanche la démarche suivie par la CNA, qui, dans sa décision du 6 août 1998, a procédé à la comparaison des gains avec et sans l'accident, conduisant à un taux d'invalidité de 33,33%. La notion d'invalidité étant en principe identique en matière d'assurance-accidents et d'AI (cf. notamment, pour ce qui est de la jurisprudence antérieure à la LPGA, ATF 119 V 468 consid. 2b, RAMA 1993 n° U 171 p. 138), il n'y avait pas lieu de s'écarter de ce taux d'autant que la seule atteinte à la santé existant alors consistait en la blessure – ou plutôt ses conséquences – au genou. En outre, avant la procédure de révision engagée en 2000, l'OAI ne s'était pas posé la question de la capacité de travail du recourant dans une activité adaptée. Or, il est constant que cette capacité de travail était entière dans une telle activité. Cela résulte tout d'abord de la décision de la CNA du 6 août 1998, fondée sur un rapport du Dr T.________ du 30 avril précédent. Le médecin traitant, le Dr L.________, confirme d'ailleurs cet avis dans son rapport du 27 novembre 2000 dès lors qu'il reconnaît au recourant une pleine capacité de travail dans une activité adaptée moyennant un reclassement professionnel. Il admet que l'état du genou ne se modifiera probablement pas à l'avenir. De leur côté, les médecins du SMR soulignent dans leur rapport du 18 avril 2005 que la capacité de travail exigible est tributaire des importantes atteintes à la santé somatique, c'est-à-dire celles affectant principalement le genou gauche et le rachis lombaire. Des limitations fonctionnelles ont ainsi été mises en évidence par les praticiens du SMR pour définir une activité exigible. Pour autant que ces limitations soient respectées, la capacité de travail du recourant dans une activité adaptée est complète à leurs yeux. A cet égard, il convient de souligner que les limitations fonctionnelles que le Dr L.________ indique dans son rapport du 4 août 2008, soit la difficulté à rester en stations assise et debout de manière prolongée, correspondent à celles déjà retenues par les médecins du SMR. Ce rapport ne fournit ainsi aucun élément nouveau dont l'OAI n'aurait pas tenu compte et n'est donc d'aucun secours pour le recourant. Au reste, contrairement à ce que soutient le recourant dans son écriture du 14 mai 2009 (ch. 24), il n'y a pas une appréciation différente d'une même situation. Il y a bien plutôt la prise en compte d'éléments qui auraient dû être examinés en 1998, soit au moment de la décision initiale de demi-rente, et qui ne l'ont pas été. b) La décision du 5 octobre 1998 était donc manifestement erronée et c'est dès lors à juste titre que l'autorité intimée a prononcé la suppression de la demi-rente d'invalidité servie au recourant, dans la mesure où il existe un motif de reconsidération au sens de l'art. 53 al. 2 LPGA. En effet, sa rectification revêt une importance notable dans la mesure où elle conduit à supprimer dite prestation (cf. TFA I 210/02 du 11 décembre 2002 déjà cité). Peu importe au surplus que le recourant travaille à 50%. Il résulte de ce qui précède que la décision entreprise échappe à la critique en tant qu'elle retient que le recourant présente une capacité de travail entière dans une activité adaptée. Au surplus, vérifiée d'office, la comparaison des gains à laquelle a procédé l'OAI est correcte et doit être confirmée. Elle n'est au demeurant pas contestée. En définitive, le recours, mal fondé, doit être rejeté, ce qui entraîne le maintien de la décision querellée.</w:t>
      </w:r>
    </w:p>
    <w:p>
      <w:r>
        <w:rPr>
          <w:b/>
        </w:rPr>
        <w:t>E. 5</w:t>
      </w:r>
    </w:p>
    <w:p>
      <w:r>
        <w:t>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