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33 vom 23. März 2010</w:t>
      </w:r>
    </w:p>
    <w:p>
      <w:r>
        <w:t>VD Tribunal cantonal, 2010-03-23, FR</w:t>
      </w:r>
    </w:p>
    <w:p>
      <w:r>
        <w:rPr>
          <w:b/>
        </w:rPr>
        <w:t xml:space="preserve">Quelle: </w:t>
      </w:r>
      <w:r>
        <w:t>https://mcp.opencaselaw.ch/entscheid/vd_findinfo_Arr_t___2010___33</w:t>
      </w:r>
    </w:p>
    <w:p>
      <w:r>
        <w:t>FR: VD_FINDINFO Arrêt / 2010 / 33 du 23 mars 2010</w:t>
      </w:r>
    </w:p>
    <w:p>
      <w:r>
        <w:t>IT: VD_FINDINFO Arrêt / 2010 / 33 del 23 marzo 2010</w:t>
      </w:r>
    </w:p>
    <w:p>
      <w:pPr>
        <w:pStyle w:val="Heading2"/>
      </w:pPr>
      <w:r>
        <w:t>Regeste</w:t>
      </w:r>
    </w:p>
    <w:p>
      <w:r>
        <w:t>CAUSALITÉ NATURELLE, TRAITEMENT DES SUITES D'UN ACCIDENT | 6 al. 1 LAA, 4 LPGA</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le 7 septembre 2009 auprès du tribunal compétent, est donc recevable. b) La Cour des assurances sociales du Tribunal cantonal, qui succède au Tribunal des assurances, est compétente pour statuer (art. 93 al. 1 let. a LPA-VD [loi cantonale vaudoise du 28 octobre 2008 sur la procédure administrative, RSV 173.36]). La cause doit être tranchée par la cour composée de trois magistrats (art. 83c al. 1 LOJV [loi cantonale vaudoise du 12 décembre 1979 d'organisation judiciaire, RSV 173.01]) et non par un juge unique (art. 94 al. 1 let. a LPA-VD), vu la valeur litigieuse vraisemblablement supérieure à 30'000 fr.</w:t>
      </w:r>
    </w:p>
    <w:p>
      <w:r>
        <w:rPr>
          <w:b/>
        </w:rPr>
        <w:t>E. 2</w:t>
      </w:r>
    </w:p>
    <w:p>
      <w:r>
        <w:t>Est en l'espèce litigieuse la question de savoir si l'intimée est tenue de verser des prestations au recourant en raison de l'événement du 13 octobre 2008 pour la période postérieure au 18 décembre 2008, exception faite de la facture d'IRM effectuée le 19 décembre 2008, qui a été prise en compte par cette dernière à titre de mesure d'éclaircissement (frais d'instruction) au sens de l'art. 45 al. 1 LAA.</w:t>
      </w:r>
    </w:p>
    <w:p>
      <w:r>
        <w:rPr>
          <w:b/>
        </w:rPr>
        <w:t>E. 3</w:t>
      </w:r>
    </w:p>
    <w:p>
      <w:r>
        <w:t>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TF 8C_1025/2008 du 19 octobre 2009,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 survenance de l'accident ( statu quo sine ; cf. TF 8C_726/2008 du 14 mai 2009, consid. 2.3). Le seul fait que des symptômes douloureux ne se sont manifestés qu'après la survenance d'un accident ne suffit pas à établir un rapport de causalité naturelle avec cet accident (raisonnement post hoc, ergo propter hoc ; cf. ATF 119 V 335, consid. 2b/bb;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TF U 222/04 du 30 novembre 2004 consid. 1.3). c)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(TF 8C_301/2009 du 17 septembre 2009 consid. 3.2 et les références citées; TF 8C_486/2008 du 4 avril 2008 consid. 4.3). L' aggravation significative et donc durable d'une affection dégénérative préexistante de la colonne vertébrale par suite d'un accident n'est établie, selon la jurisprudence, que lorsque la radioscopie met en évidence un tassement subit des vertèbres ou l'apparition ou l'agrandissement de lésions après un traumatisme (TF U 172/06 du 10 mai 2007, consid. 6.3; TF U 282/06 du 4 juin 2007, consid. 3.3).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w:t>
      </w:r>
    </w:p>
    <w:p>
      <w:r>
        <w:rPr>
          <w:b/>
        </w:rPr>
        <w:t>E. 4</w:t>
      </w:r>
    </w:p>
    <w:p>
      <w:r>
        <w:t>a) Il est constant que l'assuré présente une hernie discale L4-L5 paramédiane et latérale droite, ainsi que l'a retenu le Dr C.________ dans son rapport du 19 janvier 2009, suite à une IRM effectuée le 19 décembre 2008. S'agissant du déroulement de l'événement accidentel, il résulte du dossier, en particulier du rapport médical initial LAA du 9 janvier 2009 du Dr M.________ et du formulaire rempli le 17 février 2009 par l'assuré, que ce dernier, en transportant de lourdes pierres dans son jardin, a chuté de sa hauteur et a subi un choc sur le coté droit, au niveau de la hanche. Ces faits ne sont pas contestés par le recourant. Au vu de la jurisprudence précitée, les hernies discales s'insèrent dans un contexte d'altération des disques intervertébraux d'origine dégénérative et ne sont qu'exceptionnellement la cause proprement dite d'une telle atteinte. Comparé aux événements propres à provoquer la survenance d'une hernie discale retenus par la pratique médicale, tels que chute libre d'une hauteur importante , saut de 10 mètres de hauteur, chute notamment avec port de charges, télescopage à grande vitesse (TF U 307/05 du 8 janvier 2007 consid. 7.2 et la référence citée), l'événement traumatique a été relativement modéré et ne revêtait pas une importance particulière mais constituait une chute ordinaire ou banale. A cela s'ajoute que, selon le rapport du 3 mars 2009 du Dr G.________, la chute du 13 octobre 2008 n'était propre à causer qu'une simple contusion, étant donné que l'assuré n'avait pas consulté de suite un médecin et qu'il n'avait vu qu'un ostéopathe. On relèvera que le recourant ne se réfère à aucun document médical pour infirmer l'avis de ce praticien. Par ailleurs, ce n'est que sur indication de H.________, à l'issue de la cinquième séance de physiothérapie-ostéopathie, qu'il est allé consulter un médecin, à savoir le Dr M.________. Le fait qu'il ait décidé seulement environ un mois après l'événement accidentel de s'adresser à un physiothérapeute-ostéopathe ne peut que démontrer que les douleurs résultant de la chute du 13 octobre 2008 n'étaient pas très importantes et qu'elles étaient surmontables, du moins dans un premier temps. En outre, H.________ et le Dr M.________ n'ont pas prescrit d'incapacité de travail. L'assuré lui-même n'a pas eu besoin d'arrêts de travail pour se rendre aux consultations auprès de ces praticiens, lesquelles ont du reste eu lieu en dehors des vacances scolaires. Tous ces éléments ne peuvent que corroborer le fait que l'accident ne revêtait pas une importance particulière. b) L'argument soulevé par le recourant selon lequel il ne ressentait pas de douleurs et présentait une mobilité complète avant l'événement litigieux du 13 octobre 2008 n'est pas pertinent en l'espèce. Il s'agit en effet d'un raisonnement post hoc, ergo propter hoc qui ne permet pas d'établir un lien de causalité naturelle. Le recourant fait ensuite valoir qu'un tel lien entre l'accident et son atteinte à la santé est avéré, se référant aux déclarations de l'intimée. Celle-ci a retenu, en se basant sur l'avis du Dr G.________, que la relation de causalité entre la chute et la hernie n'était que possible, voire exclue au vu du mécanisme lésionnel. Or, pour être admise, l'existence du lien de causalité adéquate doit être qualifiée de probable dans le cas particulier et il ne suffit pas qu'elle paraisse possible (TF 8C_1025/2008 du 19 octobre 2009, consid. 3.2 et les arrêts cités). Enfin, on relèvera que l'intention du recourant de récupérer de sa chute en ménageant ses efforts sans entreprendre de traitement médical, si elle peut paraître louable tout en étant quelque peu risquée, ne saurait avoir une incidence quant au fait de savoir si la hernie discale a été ou non causée par l'accident litigieux. c) Dès lors, l'existence d'un lien de causalité naturelle entre l'événement du 13 octobre 2008 et la hernie discale dont souffre le recourant doit être niée, de sorte qu'il n'y a pas lieu d'examiner s'il existe un lien de causalité adéquate. Ainsi, le statu quo sine doit être considéré comme atteint le 19 décembre 2008 et le recourant n'a pas droit à la prise en charge par l'intimée des traitements entrepris à partir de cette date. Partant, le recours doit être rejeté.</w:t>
      </w:r>
    </w:p>
    <w:p>
      <w:r>
        <w:rPr>
          <w:b/>
        </w:rPr>
        <w:t>E. 5</w:t>
      </w:r>
    </w:p>
    <w:p>
      <w:r>
        <w:t>Il n'est pas perçu de frais, la procédure étant gratuite (art. 61 let. a LPGA), ni alloué de dépens, étant donné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