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22 vom 4. Dezember 2009</w:t>
      </w:r>
    </w:p>
    <w:p>
      <w:r>
        <w:t>VD Tribunal cantonal, 2009-12-04, FR</w:t>
      </w:r>
    </w:p>
    <w:p>
      <w:r>
        <w:rPr>
          <w:b/>
        </w:rPr>
        <w:t xml:space="preserve">Quelle: </w:t>
      </w:r>
      <w:r>
        <w:t>https://mcp.opencaselaw.ch/entscheid/vd_findinfo_Arr_t___2010___22</w:t>
      </w:r>
    </w:p>
    <w:p>
      <w:r>
        <w:t>FR: VD_FINDINFO Arrêt / 2010 / 22 du 4 décembre 2009</w:t>
      </w:r>
    </w:p>
    <w:p>
      <w:r>
        <w:t>IT: VD_FINDINFO Arrêt / 2010 / 22 del 4 dicembre 2009</w:t>
      </w:r>
    </w:p>
    <w:p>
      <w:pPr>
        <w:pStyle w:val="Heading2"/>
      </w:pPr>
      <w:r>
        <w:t>Regeste</w:t>
      </w:r>
    </w:p>
    <w:p>
      <w:r>
        <w:t>CLASSEMENT DE LA PROCÉDURE, VOL{DROIT PÉNAL}, ABUS DE CONFIANCE, ESCROQUERIE | 138 CP, 139 CP, 146 CP, 176 CPP, 296 CPP</w:t>
      </w:r>
    </w:p>
    <w:p>
      <w:pPr>
        <w:pStyle w:val="Heading2"/>
      </w:pPr>
      <w:r>
        <w:t>Volltext</w:t>
      </w:r>
    </w:p>
    <w:p>
      <w:r>
        <w:t>Vaud Tribunal cantonal Tribunal d'accusation 05.01.2010 Arrêt / 2010 / 22</w:t>
      </w:r>
    </w:p>
    <w:p>
      <w:r>
        <w:t>CLASSEMENT DE LA PROCÉDURE, VOL{DROIT PÉNAL}, ABUS DE CONFIANCE, ESCROQUERIE | 138 CP, 139 CP, 146 CP, 176 CPP, 296 CPP</w:t>
      </w:r>
    </w:p>
    <w:p>
      <w:r>
        <w:t>TRIBUNAL CANTONAL 8 TRIBUNAL D'ACCUSATION _________________________________ Séance du 5 janvier 2010 __________________ Présidence de   M.        J.-F. Meylan , président Juges : MM.     Sauterel et Byrde Greffière : Mme   Brabis ***** Art. 176, 296 CPP Vu la plainte déposée le 9 septembre 2009 par B.________ contre R.________ pour abus de confiance, vol et escroquerie, vu l'ordonnance du 4 décembre 2009, par laquelle le Juge d'instruction de l'arrondissement de Lausanne a refusé de suivre à la plainte et a laissé les frais à la charge de l'Etat (dossier n° PE09.023397-LML ), vu le recours exercé en temps utile par B.________ contre cette décision, vu le recours exercé par R.________ contre cette décision, vu les pièces du dossier; attendu que B.________ a déposé plainte le 9 septembre 2009 contre R.________ pour vol, abus de confiance et escroquerie (P. 5/1), que B.________ a remis son véhicule à R.________, du Z.________Sàrl, en vue de la réparation de la boîte à vitesse, que B.________ a exposé que la première réparation effectuée n'a pas fonctionné, que B.________ aurait ensuite accepté la proposition de R.________ d'acheter une boîte à vitesse à 2'500 fr., que, toutefois, la voiture n'aurait pas pu être réparée étant donné que la boîte à vitesse précitée n'était pas du bon modèle, qu'en dépit d'un autre essai, pour lequel le plaignant aurait versé un montant de 1'500 fr., son véhicule n'a pas pu être réparé, que R.________ se serait engagé à rembourser B.________ dans le cas où la réparation n'était pas possible, que le prévenu a restitué le montant de 2'000 fr. au plaignant, que B.________ reproche à R.________ de lui avoir fait croire qu'il pouvait effectuer la réparation de sa voiture, que le plaignant reproche également au prévenu de ne pas lui avoir remboursé la totalité des montants qu'il avait versés pour la réparation de sa voiture, soit la somme de 2'000 fr., qu'il expose encore que le prévenu lui aurait proposé de provoquer un accident afin que l'assurance paie les réparations de sa voiture, ce qu'il aurait refusé, que par ordonnance du 4 décembre 2009, le magistrat instructeur a refusé de suivre à la plainte, considérant en substance que le litige était uniquement d'ordre civil, que B.________ et R.________ contestent cette décision; attendu qu'en vertu de l'art. 296 CPP, le Ministère public et le plaignant peuvent recourir au Tribunal d'accusation contre l'ordonnance de refus de suivre à une plainte au sens de l'art. 176 CPP, que, partant, R.________, n'étant pas une de ces deux parties, n'a pas la qualité pour recourir, que faute de qualité pour recourir, il n'est pas habilité à critiquer l'ordonnance de refus de suivre, que son recours est dès lors irrecevable pour ce motif, qu'en outre, en vertu de l'art. 301 al. 1 CPP, le recours doit être exercé dans les dix jours dès la notification de la décision attaquée, qu'en l'espèce, l'ordonnance de refus de suivre date du 4 décembre  2009, que le recours de R.________ a été déposé le 30 décembre 2009, que son recours est dès lors clairement tardif et doit être considéré comme irrecevable également pour cette raison; attendu que des motifs de fond ne justifient un refus de suivre que s'ils permettent d'exclure d'emblée et avec certitude une condamnation ou une déclaration de culpabilité (TAcc., C. SA, 15 décembre 1988/550; Bovay / Dupuis / Monnier / Moreillon / Piguet, Procédure pénale vaudoise, 3 ème éd., Bâle 2008, n. 1 ad art. 176 CPP, p. 201); attendu que se rend coupable d'abus de confiance au sens de l'art. 138 ch. 1 al. 2 CP celui qui, sans droit, aura employé à son profit ou au profit d'un tiers des valeurs patrimoniales qui lui avaient été confiées, que sur le plan objectif, cette infraction suppose que l'on soit en présence d'une valeur confiée, ce qui signifie que l'auteur en ait la possession en vertu d'un accord ou d'un autre rapport juridique qui implique qu'il n'en a pas la libre disposition et ne peut se l'approprier (TF 6B_827/2008 du 7 janvier 2009 c. 1.3), que le comportement délictueux consiste à utiliser la valeur patrimoniale contrairement aux instructions reçues, en s'écartant de la destination fixée (Corboz, Les infractions en droit suisse, Vol. I, Berne 2002, p. 229), que l'art. 138 ch. 1 al. 2 CP ne protège pas la propriété, mais le droit de celui qui a confié la valeur patrimoniale à ce que celle-ci soit utilisée dans le but qu'il a assigné et conformément aux instructions qu'il a données (TF 6B_17/2009 du 16 mars 2009 c. 2.1.1; ATF 129 IV 257 c. 2.2.1), que du point de vue subjectif, l'auteur doit avoir agi intentionnellement et dans un dessein d'enrichissement illégitime (TF 6B_17/2009 du 16 mars 2009 c. 2.2.1; TF 6B_827/2008 du 7 janvier 2009 c. 1.3), attendu que se rend coupable d'escroquerie au sens de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que l'escroquerie suppose donc une tromperie astucieuse, que s elon la jurisprudence,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(TF 6B_409/2007 du 9 octobre 2007 c. 2.1; ATF 133 IV 256 c. 4.4.3; ATF 128 IV 18 c. 3a), que sur le plan subjectif, l'auteur doit avoir agi intentionnellement et dans un dessein d'enrichissement illégitime (Corboz, op. cit., p. 309), qu'en l'espèce, R.________ a expliqué avoir reçu la somme de 4'000 fr. de la part du plaignant comme acompte pour la réparation de sa voiture (P. 6), qu'il a déclaré avoir remboursé la somme de 2'000 fr. au plaignant et avoir gardé le montant de 2'000 fr. pour la main d'œuvre et les pièces utilisées pour la réparation du véhicule, que R.________ a affirmé que c'était B.________ qui avait décidé de faire réparer son véhicule dans le but d'escroquer son assurance (P. 8), qu'au vu du dossier, l'infraction d'abus de confiance n'est pas réalisée étant donné que les sommes versées par B.________ à R.________ ne peuvent pas être considérées comme des valeurs patrimoniales confiées au sens de l'art. 138 ch. 1 al. 2 CP, que le comportement de R.________ n'est pas non plus constitutif d'escroquerie, qu'en effet, d'un point de vue objectif, l'astuce prévue à l'art. 146 CP fait défaut dans le cas présent, que pour le surplus, en ce qui concerne la prétendue tentative d'escroquerie à l'assurance que le plaignant et le prévenu s'accusent mutuellement d'avoir commise, force est de constater que le commencement d'exécution, l'intention et le dessein d'enrichissement illégitime ne sont pas établis, qu'aucune infraction pénale ne peut donc être reprochée à R.________, qu'il s'agit d'un litige exclusivement civil, que toute condamnation est dès lors d'emblée exclue, que c'est donc à bon droit que le magistrat instructeur a refusé de suivre à la plainte de B.________; attendu, en définitive, que le recours de R.________ est écarté, que le recours de B.________ est rejeté, que l'ordonnance est confirmée, que les frais du présent arrêt sont mis, à concurrence d'une moitié, à la charge de B.________ et l'autre moitié à la charge de R.________ (art. 307 CPP). Par ces motifs, le Tribunal d'accusation, statuant à huis clos : I. Rejette le recours de B.________. II. Ecarte le recours de R.________. III. Confirme l'ordonnance. IV. Dit que les frais d'arrêt, par 550 fr. (cinq cent cinquante francs), sont mis, à concurrence d'une moitié, soit 275 fr. (deux cent septante-cinq francs), à la charge de B.________, l'autre moitié, par 275 fr. (deux cent septante-cinq francs) étant mis à la charge de R.________. V. Déclare l'arrêt exécutoire. L e président : L a greffi ère : Du L'arrêt qui précède, dont la rédaction a été approuvée à huis clos, est notifié aux parties, ainsi qu'au Ministère public, par l'envoi d'une copie complète : -      M. B.________, -      M. R.________.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