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196 vom 4. Januar 2010</w:t>
      </w:r>
    </w:p>
    <w:p>
      <w:r>
        <w:t>VD Tribunal cantonal, 2010-01-04, FR</w:t>
      </w:r>
    </w:p>
    <w:p>
      <w:r>
        <w:rPr>
          <w:b/>
        </w:rPr>
        <w:t xml:space="preserve">Quelle: </w:t>
      </w:r>
      <w:r>
        <w:t>https://mcp.opencaselaw.ch/entscheid/vd_findinfo_Arr_t___2010___196</w:t>
      </w:r>
    </w:p>
    <w:p>
      <w:r>
        <w:t>FR: VD_FINDINFO Arrêt / 2010 / 196 du 4 janvier 2010</w:t>
      </w:r>
    </w:p>
    <w:p>
      <w:r>
        <w:t>IT: VD_FINDINFO Arrêt / 2010 / 196 del 4 gennaio 2010</w:t>
      </w:r>
    </w:p>
    <w:p>
      <w:pPr>
        <w:pStyle w:val="Heading2"/>
      </w:pPr>
      <w:r>
        <w:t>Regeste</w:t>
      </w:r>
    </w:p>
    <w:p>
      <w:r>
        <w:t>CONSEIL LÉGAL{MESURE TUTÉLAIRE}, SUPPRESSION{EN GÉNÉRAL}, TUTELLE | 395 CC, 420 al. 2 CC, 433 CC, 436 CC, 439 al. 3 CC</w:t>
      </w:r>
    </w:p>
    <w:p>
      <w:pPr>
        <w:pStyle w:val="Heading2"/>
      </w:pPr>
      <w:r>
        <w:t>Erwägungen</w:t>
      </w:r>
    </w:p>
    <w:p>
      <w:r>
        <w:rPr>
          <w:b/>
        </w:rPr>
        <w:t>E. 1</w:t>
      </w:r>
    </w:p>
    <w:p>
      <w:r>
        <w:t>Le recours est dirigé contre la décision de la justice de paix refusant d'accorder la mainlevée de la mesure de conseil légal instituée en faveur de X.________. a) Conformément à l'art. 420 al. 2 CC (Code civil suisse du 10 décembre 1907, RS 210), un recours peut être adressé à l'autorité de surveillance contre les décisions de l'autorité tutélaire dans les dix jours à partir de leur communication. Ouvert au pupille capable de discernement ainsi qu'à tout intéressé (art. 420 al. 1 CC), ce recours s'exerce par acte écrit à l'office dont émane la décision ou au Tribunal cantonal; il relève de la procédure non contentieuse et s'instruit selon les art. 489 ss CPC (Code de procédure civile vaudoise du 14 décembre 1966, RSV 270.11; art. 109 al. 3 LVCC, loi d'introduction dans le canton de Vaud du Code civil suisse du 30 novembre 1910, RSV 211.01); il est en particulier recevable contre les décisions relatives à l'institution ou à la levée d'une curatelle (Poudret/Haldy/Tappy, Procédure civile vaudoise, 3 e éd., Lausanne 2002, n. 2.3. ad art. 489 CPC, p. 758). La Chambre des tutelles, compétente en vertu de l'art. 76 al. 2 LOJV (loi vaudoise d'organisation judiciaire du 12 décembre 1979, RSV 173.01), peut réformer la décision attaquée ou en prononcer la nullité (art. 498 al. 1 CPC). Si la cause n'est pas suffisamment instruite, la Chambre des tutelles peut la renvoyer à l'autorité tutélaire ou procéder elle-même à l'instruction complémentaire (art. 498 al. 2 CPC). Le recours étant pleinement dévolutif, elle revoit librement la cause en fait et en droit (JT 2003 III 35; JT 2001 III 121). b) Interjeté en temps utile par la pupille elle-même, le recours est recevable. Il en va de même du mémoire de la recourante, déposé dans le délai imparti à cet effet, ainsi que des pièces produites en deuxième instance (art. 496 al. 2 CPC; Poudret/Haldy/Tappy, op. cit., n. 2 ad art. 496 CPC, p. 765).</w:t>
      </w:r>
    </w:p>
    <w:p>
      <w:r>
        <w:rPr>
          <w:b/>
        </w:rPr>
        <w:t>E. 2</w:t>
      </w:r>
    </w:p>
    <w:p>
      <w:r>
        <w:t>a) La Chambre des tutelles,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nos 3 et 4 ad art. 492 CPC, p. 763). La procédure de mainlevée est réglée par les cantons, qui désignent également les autorités compétentes (art. 434 al. 1 et 439 al. 3 CC, en relation avec l'art. 373 al. 1 CC). Selon l'art. 397 CPC, qui régit la procédure de mainlevée d'interdiction et est applicable à la mainlevée de la curatelle de conseil légal (art. 398 CPC; Deschenaux/Steinauer, Personnes physiques et tutelles, 4 e éd., Berne 2001, n. 1149, p. 430 ), la demande de mainlevée est adressée au juge de paix du for de la tutelle, qui procède à une enquête comme en matière d'interdiction et ordonne, s'il y a lieu, l'expertise prescrite par l'art. 436 CC (al. 1); l'enquête terminée, le juge de paix la soumet à la justice de paix qui instruit et statue comme en matière d'interdiction (al. 2). Comme vu ci-dessus, et conformément à l'art. 397 CPC, le juge de paix doit, dans le cadre de son enquête, ordonner s'il y a lieu l'expertise prescrite par l'art. 436 CC. En vertu de cette disposition, la mainlevée de l'interdiction - de la curatelle de conseil légal (art. 439 al. 3 CC) - prononcée pour cause de maladie mentale ou de faiblesse d'esprit ne peut en effet être accordée que sur un rapport d'expertise constatant que la cause de la mise sous tutelle - sous curatelle de conseil légal - n'existe plus (à noter que les conditions pour l'institution d'un conseil légal sont moins "strictes" qu'en matière d'interdiction, cf. TF 5A_15/2008 du 14 février 2008 c. 2). Toutefois, selon la doctrine, l'application de l'art. 374 al. 2 CC, qui dispose que l'interdiction pour cause de maladie mentale ou de faiblesse d'esprit ne peut être prononcée que sur un rapport d'expertise, et dont l'art. 436 CC est le pendant, n'est pas impérative pour l'institution d'un conseil légal coopérant au sens de l'art. 395 al. 1 CC. Au demeurant, le Tribunal fédéral a rejeté le principe de l'expertise obligatoire dans un arrêt relatif à l'institution d'un conseil légal combiné (art. 395 al. 1 et 2 CC), estimant que seul un doute quant au besoin de protection de l'intéressé impose de mettre en œuvre une expertise aux fins d'établir si c'est en raison d'une faiblesse intellectuelle ou de volonté qu'il est hors d'état de veiller à ses intérêts économiques (ATF 113 II 228, JT 1990 I 37; Deschenaux/Steinauer, op. cit., n. 183, p. 57 ). Aussi peut-on admettre, a fortiori, qu'une expertise psychiatrique n'est pas non plus impérative pour pouvoir statuer sur la mainlevée d'une mesure de curatelle de conseil légal. b) En l'espèce, X.________, rentière AI, a été pourvue d'un conseil légal gérant et coopérant par décision du 16 janvier 2008 du Tribunal civil de la Glâne. L'intéressée ayant refusé de se soumettre à une expertise, le tribunal s'est fondé sur les déclarations du docteur K.________ du 2 novembre 2001, qui concluait à une débilité mentale congénitale, connue depuis la petite enfance, qui avait rendu une scolarisation impossible, et qui se compliquait d'un état psychotique et délirant intermittent. L'expertise prescrite par l'art. 436 CC n'a pas été effectuée dans le cadre de la procédure de mainlevée de la mesure de conseil légal instituée en faveur de X.________. Ayant constaté, lors de l'audience du 5 août 2009, que cette dernière tenait des propos totalement incompréhensibles, agissait de manière incohérente, se montrait inconstante dans ses décisions et s'opposait à la mise en œuvre d'une expertise, les premiers juges étaient fondés à ne pas ordonner cette preuve. La décision est ainsi formellement correcte.</w:t>
      </w:r>
    </w:p>
    <w:p>
      <w:r>
        <w:rPr>
          <w:b/>
        </w:rPr>
        <w:t>E. 3</w:t>
      </w:r>
    </w:p>
    <w:p>
      <w:r>
        <w:t>Le conseil légal doit être levé en application de l'art. 439 al. 3 CC, qui renvoie à l'art. 433 al. 2 CC, lorsque la cause qui a justifié la mesure n'existe plus (Deschenaux/Steinauer, op. cit., n. 1149, p. 430). En l'espèce, au vu du diagnostic de débilité mentale posé le 2 novembre 2001 par le docteur K.________ et des troubles de l'expression et de la pensée manifestés par la recourante lors de l'audience du 5 août 2009, sa vulnérabilité et, partant, son besoin de protection, n'ont pas changé. Dans une lettre adressée à la justice de paix le 27 avril 2009, O.________ a indiqué que X.________ maîtrisait les gestes de la vie quotidienne, mais avait besoin d'aide pour gérer sa fortune, faire ses paiements et régler ses affaires administratives, ne sachant pas très bien lire et écrire. Elle a ajouté qu'elle se sentait persécutée et pouvait se montrer très naïve, cédant à la première faveur. Contrairement à ce que paraît penser X.________, si le recours aux services d'une fiduciaire faciliterait la gestion de ses avoirs, ce service ne la protégerait pas pour autant d'atteintes portées à son patrimoine ou d'incitations de tiers, abusant de sa faiblesse, à souscrire des engagements desservant ses intérêts. Son besoin de protection n'a par conséquent pas diminué.</w:t>
      </w:r>
    </w:p>
    <w:p>
      <w:r>
        <w:rPr>
          <w:b/>
        </w:rPr>
        <w:t>E. 4</w:t>
      </w:r>
    </w:p>
    <w:p>
      <w:r>
        <w:t>En définitive, le recours de X.________ doit être rejeté et la décision entreprise confirmée. Le présent arrêt est rendu sans frais (art. 236 al. 2 TFJC, tarif du 4 décembre 1984 des frais judiciaires en matière civile, RSV 270.11.5). Par ces motifs, la Chambre des tutelles du Tribunal cantonal, statuant à huis clos, prononce : I. Le recours est rejeté. II. La décision est confirmée. III. L'arrêt est rendu sans frais. IV. L'arrêt motivé est exécutoire. Le président : La greffière : Du 4 janvier 2010 Le dispositif de l'arrêt qui précède est communiqué par écrit aux intéressés. La greffière : Du L'arrêt qui précède, dont la rédaction a été approuvée à huis clos, est notifié à : ‑      Mme X.________, ‑      M. E.________, et communiqué à : ‑      Justice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