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178 vom 20. Januar 2010</w:t>
      </w:r>
    </w:p>
    <w:p>
      <w:r>
        <w:t>VD Tribunal cantonal, 2010-01-20, FR</w:t>
      </w:r>
    </w:p>
    <w:p>
      <w:r>
        <w:rPr>
          <w:b/>
        </w:rPr>
        <w:t xml:space="preserve">Quelle: </w:t>
      </w:r>
      <w:r>
        <w:t>https://mcp.opencaselaw.ch/entscheid/vd_findinfo_Arr_t___2010___178</w:t>
      </w:r>
    </w:p>
    <w:p>
      <w:r>
        <w:t>FR: VD_FINDINFO Arrêt / 2010 / 178 du 20 janvier 2010</w:t>
      </w:r>
    </w:p>
    <w:p>
      <w:r>
        <w:t>IT: VD_FINDINFO Arrêt / 2010 / 178 del 20 gennaio 2010</w:t>
      </w:r>
    </w:p>
    <w:p>
      <w:pPr>
        <w:pStyle w:val="Heading2"/>
      </w:pPr>
      <w:r>
        <w:t>Regeste</w:t>
      </w:r>
    </w:p>
    <w:p>
      <w:r>
        <w:t>LOI FÉDÉRALE SUR L'AIDE AUX VICTIMES D'INFRACTIONS, ACTION EN RÉPARATION DU TORT MORAL, TORT MORAL, ATTEINTE À LA SANTÉ PSYCHIQUE, PRESTATION D'ASSISTANCE, POUVOIR D'APPRÉCIATION | 47 CO, 49 CO, 11 al. 1 LAVI, 12 al. 2 LAVI, 13 LAVI, 2 al. 1 LAVI</w:t>
      </w:r>
    </w:p>
    <w:p>
      <w:pPr>
        <w:pStyle w:val="Heading2"/>
      </w:pPr>
      <w:r>
        <w:t>Erwägungen</w:t>
      </w:r>
    </w:p>
    <w:p>
      <w:r>
        <w:rPr>
          <w:b/>
        </w:rPr>
        <w:t>E. 1</w:t>
      </w:r>
    </w:p>
    <w:p>
      <w:r>
        <w:t>a) Aux termes de l'art. 14 al. 2 aLVLAVI (loi vaudoise du 16 décembre 1992 d'application de la loi fédérale du 4 octobre 1991 sur l'aide aux victimes d'infractions, RA 1992 479), dans sa teneur en vigueur jusqu'au 31 décembre 2008, le Tribunal cantonal des assurances est compétent pour connaître des recours contre les décisions relatives aux décisions d'indemnisation et de réparation morale. Le recours s'exerce par écrit dans un délai de vingt jours dès la communication de la décision attaquée. Les causes pendantes devant cette autorité ont été reprises par la Cour des assurances sociales (cf. art. 117 al. 1 LPA-VD [loi vaudoise du 28 octobre 2008 sur la procédure administrative, RS 173.36], entrée en vigueur le 1 er janvier 2009). b) En l'occurrence, le recours, interjeté en temps utile auprès du tribunal compétent, est recevable en la forme.</w:t>
      </w:r>
    </w:p>
    <w:p>
      <w:r>
        <w:rPr>
          <w:b/>
        </w:rPr>
        <w:t>E. 2</w:t>
      </w:r>
    </w:p>
    <w:p>
      <w:r>
        <w:t>Est litigieux en l'espèce le montant de l'indemnisation pour tort moral. Selon l'art. 48 let. a LAVI (loi fédérale du 23 mars 2007 sur l'aide aux victimes d'infractions, RS 312.5), le droit d'obtenir une indemnité et une réparation morale pour des faits qui se sont déroulés avant l'entrée en vigueur de la présente loi est régi par l'ancien droit. La présente cause est dès lors soumise à la loi fédérale du 4 octobre 1991 sur l'aide aux victimes d'infractions (aLAVI, RO 1992 2465), en vigueur jusqu'au 31 décembre 2008. a) En vertu des art. 2 al. 1 et 11 al. 1 aLAVI,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(art. 13 aLAVI). La réparation morale est due, elle, indépendamment du revenu de la victime, lorsque celle-ci subit une atteinte grave et que des circonstances particulières justifient cette réparation (art. 12 al. 2 aLAVI ; TF 1C_102/2009 du 16 juin 2009, consid. 2.1). La aLAVI ne contient aucune disposition sur la détermination de cette indemnité. Se référant à des notions juridiques indéterminées, la prétention dépend dans une large mesure - quant à son principe et son étendue - du pouvoir d'appréciation de l'autorité ;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125 II 169 consid. 2b/bb ; ATF 121 II 369 consid. 3c). L'autorité d'indemnisation n'est pas liée par le montant alloué par le juge pénal contre l'auteur de l'infraction car il s'agit d'une question de droit que l'autorité LAVI apprécie librement (ATF 129 Il 312 consid. 2.8 ; TF 1C_182/2007 du 28 novembre 2007, consid. 6). b) La définition de l'art. 12 al. 2 aLAVI correspond dans une large mesure aux critères prévus aux art. 47 et 49 CO (code des obligations, RS 220), qui précisent à quelles conditions l'auteur d'un acte illicite est tenu de s'acquitter d'une réparation morale en faveur de la victime. En effet, l'exigence de la gravité de l'atteinte et de circonstances particulières figure aussi aux art. 47 et 49 CO. Il convient ainsi de s'inspirer, par analogie, des principes développés par la jurisprudence civile relative à ces dispositions pour déterminer les conditions d'octroi d'une réparation morale, ainsi que la quotité de cette indemnité (ATF 125 II 554 consid. 2a ; TF 1C_182/2007 du 28 novembre 2007, consid. 4 et les références). La prétention de l'art. 12 al. 2 aLAVI se distingue toutefois, par sa nature juridique, de la prétention civile découlant de l'art. 47 CO. En effet, le débiteur de la réparation morale, ainsi que la nature juridique d'une telle obligation, ne sont pas les mêmes, ce qui peut conduire à des différences dans le système de la réparation (ATF 125 II 169 consid. 2b et la référence ). Il faut ainsi prendre en considération les différences et ressemblances entre, d'une part, les décisions rendues par les instances d'aide aux victimes d'infraction et, d'autre part, celles rendues par les tribunaux pénaux ou civils (ATF 124 II 8 consid. 3d/bb, JdT 1999 IV 43). Parmi les différences entre les décisions rendues par les instances LAVI et celles rendues par les tribunaux pénaux ou civils, on relèvera que le juge pénal, qui accorde une indemnité pour tort moral, le fait en statuant sur les prétentions civiles de la victime à l'encontre de l'auteur du dommage (art. 9 aLAVI), alors que l'action de l'art. 12 al. 2 aLAVI concerne une prétention de la victime à recevoir, du canton concerné, une somme à titre de réparation morale, sur laquelle le juge LAVI peut statuer de manière indépendante. Dans le cas de la réparation morale selon la LAVI, on se trouve en présence d'une prestation étatique (ATF 125 Il 169 consid. 2b ; ATF 121 Il 369 consid. 3c/aa). Le système de réparation et d'indemnisation du tort moral prévu par la LAVI repose sur l'idée d'une prestation d'assistance et non d'une responsabilité de l'Etat, qui n'est pas tenu à des prestations aussi étendues que celles exigibles en principe de l'auteur de l'infraction, car il n'est pas responsable des conséquences d'une infraction (ATF 128 II 49 consid. 4.1 ; ATF 125 II 554 consid. 2a, JdT 2001 IV 96).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(ATF 125 II 169 consid 2b ; TF 1A.169/2001 du 7 février 2002, consid. 5.1 et les références). c) En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par exemple (TF 1A.235/2000 du 21 février 2001 ; TF 1A.20/2002 du 4 juillet 2002 ; Mizel, La qualité de victime LAVI et la mesure actuelle des droits qui en découlent, in : JdT 2003 IV 38), où lorsqu'elles entraînent une altération profonde ou prolongée du bien-être (TF 1P.147/2003 du 19 mars 2003). Il ne suffit donc pas que la victime ait subi des désagréments, qu'elle ait eu peur ou qu'elle ait eu quelque mal (ATF 129 IV 216 consid. 1.2.1 ; TF 1C_102/2009 du 16 juin 2009, consid. 2.1). La souffrance consécutive à la peur de mourir n'est prise en compte comme facteur d'augmentation dans la doctrine et la jurisprudence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 12 al. 2 aLAVI (TF 1A.235/2000 du 21 février 2001 ; Mizel, op. cit., p. 97).</w:t>
      </w:r>
    </w:p>
    <w:p>
      <w:r>
        <w:rPr>
          <w:b/>
        </w:rPr>
        <w:t>E. 3</w:t>
      </w:r>
    </w:p>
    <w:p>
      <w:r>
        <w:t>Comme relevé dans la jurisprudence exposée ci-dessus, l'autorité d'indemnisation LAVI n'est pas liée par le jugement pénal concernant l'octroi ou non d'une indemnité. Elle l'est d'autant moins en l'espèce que le Tribunal correctionnel de l'arrondissement de La Côte a pris acte de l'engagement des deux auteurs du brigandage présents à l'audience se reconnaissant débiteurs du recourant de la somme de 15'000 fr. réclamée par lui au titre d'indemnisation pour tort moral, prétention qu'il n'a ainsi pas examinée. Le recourant a certes été attaché et bâillonné pendant plusieurs minutes et a également vu sa collègue être prise en otage et menacée de mort avec un couteau sur la gorge. Selon sa mère, « pendant des semaines, son fils n'osait pas rentrer seul chez lui » et il lui a « fallu plusieurs semaines avant de reprendre le dessus », le traumatisme étant toujours présent. Il n'est pas contesté que l'intéressé a ressenti une très grande peur pendant l'agression. Toutefois, à la suite du débriefing, il n'a pas dû être suivi par un psychiatre. En outre, bien qu'il allègue une modification de sa personnalité et de son caractère, aucun diagnostic médical de changement durable de la personnalité n'a été posé. Par conséquent, compte tenu des conditions très rigoureuses posées par la jurisprudence concernant l'octroi d'une indemnité pour tort moral, il apparaît, au regard de l'ensemble des circonstances, que le recourant ne peut prétendre à aucun montant.</w:t>
      </w:r>
    </w:p>
    <w:p>
      <w:r>
        <w:rPr>
          <w:b/>
        </w:rPr>
        <w:t>E. 4</w:t>
      </w:r>
    </w:p>
    <w:p>
      <w:r>
        <w:t>En définitive, le recours se révèle mal fondé et doit donc être rejeté, ce qui entraîne la confirmation de la décision entreprise. Il n'y a pas lieu de percevoir de frais, la procédure étant gratuite (art. 16 al. 1 aLAVI),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