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1739 vom 29. November 2010</w:t>
      </w:r>
    </w:p>
    <w:p>
      <w:r>
        <w:t>VD Tribunal cantonal, 2010-11-29, FR</w:t>
      </w:r>
    </w:p>
    <w:p>
      <w:r>
        <w:rPr>
          <w:b/>
        </w:rPr>
        <w:t xml:space="preserve">Quelle: </w:t>
      </w:r>
      <w:r>
        <w:t>https://mcp.opencaselaw.ch/entscheid/vd_findinfo_Arr_t___2010___1739</w:t>
      </w:r>
    </w:p>
    <w:p>
      <w:r>
        <w:t>FR: VD_FINDINFO Arrêt / 2010 / 1739 du 29 novembre 2010</w:t>
      </w:r>
    </w:p>
    <w:p>
      <w:r>
        <w:t>IT: VD_FINDINFO Arrêt / 2010 / 1739 del 29 novembre 2010</w:t>
      </w:r>
    </w:p>
    <w:p>
      <w:pPr>
        <w:pStyle w:val="Heading2"/>
      </w:pPr>
      <w:r>
        <w:t>Regeste</w:t>
      </w:r>
    </w:p>
    <w:p>
      <w:r>
        <w:t>INTERDICTION | 369 al. 1 CC, 369 CC, 379 CPC, 393 CPC</w:t>
      </w:r>
    </w:p>
    <w:p>
      <w:pPr>
        <w:pStyle w:val="Heading2"/>
      </w:pPr>
      <w:r>
        <w:t>Erwägungen</w:t>
      </w:r>
    </w:p>
    <w:p>
      <w:r>
        <w:rPr>
          <w:b/>
        </w:rPr>
        <w:t>E. 1</w:t>
      </w:r>
    </w:p>
    <w:p>
      <w:r>
        <w:t>L’appel de A.W.________ est dirigé contre la décision de la Justice de paix du district de Nyon prononçant son interdiction civile à forme de l’art. 369 CC. a) Conformément à l'art. 393 al. 1 CPC-VD (Code de procédure civile du 14 décembre 1966, RSV 270.11),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Interjeté en temps utile par la personne interdite, le présent appel est recevable. Il en va de même du mémoire déposé dans le délai imparti et des pièces produites. Les conclusions doivent déjà figurer dans l'acte de recours et pas seulement dans le mémoire ampliatif. Toutefois, saisie d'un recours non contentieux, la Chambre des tutelles n'est pas tenue par les motifs et les conclusions des parties (Poudret/Haldy/Tappy, op. cit., n. 3 ad art. 492 CPC-VD, p. 763). Ainsi, le fait que l'appelante ait modifié dans son mémoire ampliatif les conclusions prises dans son acte de recours est sans incidence en l'espèce.</w:t>
      </w:r>
    </w:p>
    <w:p>
      <w:r>
        <w:rPr>
          <w:b/>
        </w:rPr>
        <w:t>E. 2</w:t>
      </w:r>
    </w:p>
    <w:p>
      <w:r>
        <w:t>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CPC-VD).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l'appelante est domiciliée à [...]. La Justice de paix du district de Nyon était donc compétente pour décider de l'institution éventuelle d'une tutelle. La juge de paix a procédé à une enquête et ordonné une expertise. Elle a soumis le rapport d'expertise psychiatrique au Conseil de santé, qui, par l'intermédiaire du Médecin cantonal agissant par délégation, a déclaré ne pas avoir d'observation à formuler. La Municipalité de [...] a indiqué ne pas disposer d'éléments suffisants pour se prononcer et le Ministère public a quant à lui préavisé favorablement l'institution d'une mesure tutélaire. Au terme de l'enquête, la juge de paix a déféré la cause à la justice de paix, qui, avant de statuer, a entendu A.W.________ lors son audience du 21 juin 2010. Il s'ensuit que la décision entreprise est formellement correcte et peut être examinée quant au fond.</w:t>
      </w:r>
    </w:p>
    <w:p>
      <w:r>
        <w:rPr>
          <w:b/>
        </w:rPr>
        <w:t>E. 3</w:t>
      </w:r>
    </w:p>
    <w:p>
      <w:r>
        <w:t>L'interdiction de A.W.________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nn. 116 ss, pp. 36 ss). Les conditions du besoin spécial de protection susmentionnées sont alternatives (TF 5C.262/2002 du 6 mars 2003, in La Pratique du droit de la famille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TF 5C.74/2003 du 3 juillet 2003, in FamPra.ch 2003, p. 975; TF 5A_568/2007 du 4 février 2008). Selon le principe de la proportionnalité, la mesure tutélaire doit avoir l'efficacité recherchée, tout en sauvegardant au maximum la sphère de liberté de l'intéressé (Deschenaux/Steinauer, op. cit., n. 862, p. 340; Schnyder/Murer, Berner Kommentar, 3 e éd., 1984, n. 162 ad art. 369 CC, p. 364; Langenegger, Basler Kommentar, 3 e éd., 2006, nn. 29 ss ad art. 369 CC, pp. 1810 ss). Le but d'une mesure tutélaire est de protéger le faible contre lui-même et l'exploitation par des tiers. Une mesure est disproportionnée si elle est trop radicale ou trop faible pour atteindre ce but (TF 5C.74/2003 précité c. 4.2, in FamPra.ch 2003, p. 975; Affolter, Basler Kommentar, 3 e éd., 2006, n. 60 ad art. 406 CC, p. 2040; Stettler, Droit Civil I, Représentation et protection de l'adulte, 4 e éd., 1989, n. 80, pp. 44 et 45). La tâche d'assister le pupille sur un plan personnel peut être confiée non seulement à un tuteur mais aussi à un conseil légal (ATF 96 II 369 c. 1d, JT 1972 I 66). Toutefois, l'assistance personnelle ne doit pas être le principal objet de la protection par un conseil légal. Celui-ci tend à préserver en premier lieu les intérêts - ou l'existence - économiques de la personne à assister (ATF 108 II 92 c. 4, JT 1985 I 187; ATF 103 II 81, JT 1977 I 617; TF 5A_187/2007 du 13 août 2007 c. 3.3; TF 5C.92/1999 du 20 mai 1999 c. 4b); il ne saurait, en revanche, garantir une protection suffisante lorsqu'une surveillance et une aide personnelles durables sont nécessaires; seul le tuteur a les moyens de mettre en œuvre une protection étendue (art. 406 CC; ATF 97 II 302, JT 1972 I 584; TF 5C.74/2003 précité c. 4.3.1, in FamPra.ch 2003, p. 975; TF 5A_389/2007 du 19 septembre 2007 c. 4.2; TF 5C.17/2005 du 8 avril 2005 c. 5.3). D'éventuelles mesures contraignantes relèvent de la compétence du tuteur (art. 406 al. 2 CC; Stettler, op. cit., n. 305, pp. 147 et 148 et la jurisprudence citée). Le conseil légal, qui n'est pas un représentant légal, ne peut en effet ni donner d'instructions ni user de contrainte envers la personne assistée; il ne peut demander un placement dans un établissement ni ordonner un traitement ambulatoire (TF 5A_550/2008 du 6 octobre 2008 c. 4.1 et 4.2). b) En l'espèce, selon les conclusions de l'expertise, l'appelante souffre d’un trouble dépressif récurrent actuellement en rémission et d’un trouble mixte de la personnalité. Les experts ont estimé que cette affection est de nature à empêcher l’appelante de gérer ses affaires. Celle-ci présente en effet des traits de personnalité dépendante et évitante avec une importante passivité, est ambivalente et méfiante avec des tendances à l'isolement, ce qui entraîne une grande difficulté à prendre les décisions et à entreprendre les démarches nécessaires à sa santé et à la vie courante. On peut se demander si la cause d’une interdiction, à savoir l’existence d’un état mental anormal, est réalisée dans le cas de l’appelante. En effet, celle-ci expose de façon convaincante que c’est un épisode de conflit conjugal aigu qui a conduit à son hospitalisation en milieu psychiatrique en 2009 et que, comme l’admettent d’ailleurs les experts, le trouble dépressif dont elle était alors atteinte est actuellement en rémission. On peine ainsi à se convaincre que les traits de la personnalité de l’appelante décrits par les experts, ainsi notamment l’ambivalence, la méfiance et la tendance à l’isolement, soient suffisants pour conclure à un état mental anormal. Quoi qu'il en soit, la condition d'interdiction, à savoir l'existence d’un besoin spécial de protection, ne peut pas être tenue pour réalisée en l'espèce. On ne discerne en effet pas dans les éléments mis en évidence par les experts ce qui imposerait de procurer de l'aide à l'appelante. Il faut constater à ce sujet qu'il n'y a pas de correspondance certaine entre les faits relatés par les experts et leurs conclusions. Si ceux-ci ont répondu par la négative à la question de savoir si l'appelante pouvait se passer de soins et secours permanents, ils ont seulement relevé auparavant qu'elle souffrait d'un trouble dépressif récurrent, évoluant de manière cyclique, et qu'elle courait ainsi le risque d'une rechute. S'ils ont répondu par l'affirmative à la question de savoir si l'affection dont elle souffrait était de nature à l'empêcher de gérer ses affaires, c'est après s'être bornés à indiquer que le trouble majeur de sa personnalité lui rendait difficiles la gestion de ses affaires, la prise de décisions et les démarches nécessaires à son bien-être. Le point de vue des experts n'est ainsi guère étayé et se trouve contredit par divers éléments apportés par l'appelante. Celle-ci a démontré qu’elle gère correctement son compte bancaire, qu’elle a déménagé depuis le 1 er mai 2010 dans un appartement à [...], et que, selon son médecin généraliste, un changement radical est intervenu dans un sens positif par rapport à son état de santé de février-mars 2009. Elle prend régulièrement ses médicaments et est suivie ambulatoirement à l'Hôpital de Prangins. Elle a obtenu une rente AI et suit assidûment et régulièrement les cours d'informatique qu'elle a entrepris auprès du GRAAP de Nyon. Elle a en outre produit des déclarations écrites d’amies montrant qu’elle assume la gestion de ses affaires. Enfin, aucun élément au dossier n’indique que l’appelante aurait des dettes ou des poursuites. En conséquence, une mesure de tutelle n’est pas justifiée. Le besoin d’une mesure moins contraignante, telle une curatelle, n’est pas non plus établi.</w:t>
      </w:r>
    </w:p>
    <w:p>
      <w:r>
        <w:rPr>
          <w:b/>
        </w:rPr>
        <w:t>E. 4</w:t>
      </w:r>
    </w:p>
    <w:p>
      <w:r>
        <w:t>En conclusion, l'appel doit être admis et la décision attaquée réformée en ce sens qu'il est renoncé à prononcer l'interdiction civile de A.W.________ et que les frais sont laissés à la charge de l'Etat. Le présent arrêt peut être rendu sans frais (art. 236 al. 2 TFJC [tarif du 4 décembre 1984 des frais judiciaires en matière civile, RSV 270.11.5] et 396 al. 2 CPC-VD). Bien qu'elle obtienne gain de cause, l’appelante n'a pas droit à des dépens. La justice de paix n'a en effet pas qualité de partie, mais d'autorité de première instance, et ne saurait être condamnée à des dépens en cas d'admission du recours (Poudret/Haldy/Tappy, op. cit., n. 2 ad art. 396 CPC-VD, p. 602, et n. ad art. 499 CPC-VD, p. 766; JT 2001 III 121 c. 4). Par ces motifs, la Chambre des tutelles du Tribunal cantonal, statuant à huis clos, prononce : I. L'appel est admis. II. La décision attaquée est réformée comme il suit : I.- Il est renoncé à prononcer l'interdiction civile de A.W.________. II.- Les frais sont laissés à la charge de l'Etat. III. L'arrêt est rendu sans frais ni dépens. IV. L'arrêt motivé est exécutoire. Le président :              La greffière : Du 29 novembre 2010 Le dispositif de l'arrêt qui précède est communiqué par écrit aux intéressés. La greffière : Du L'arrêt qui précède, dont la rédaction a été approuvée à huis clos, est notifié à : ‑ Me Michel Rossinelli (pour A.W.________),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