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1675 vom 24. November 2010</w:t>
      </w:r>
    </w:p>
    <w:p>
      <w:r>
        <w:t>VD Tribunal cantonal, 2010-11-24, FR</w:t>
      </w:r>
    </w:p>
    <w:p>
      <w:r>
        <w:rPr>
          <w:b/>
        </w:rPr>
        <w:t xml:space="preserve">Quelle: </w:t>
      </w:r>
      <w:r>
        <w:t>https://mcp.opencaselaw.ch/entscheid/vd_findinfo_Arr_t___2010___1675</w:t>
      </w:r>
    </w:p>
    <w:p>
      <w:r>
        <w:t>FR: VD_FINDINFO Arrêt / 2010 / 1675 du 24 novembre 2010</w:t>
      </w:r>
    </w:p>
    <w:p>
      <w:r>
        <w:t>IT: VD_FINDINFO Arrêt / 2010 / 1675 del 24 novembre 2010</w:t>
      </w:r>
    </w:p>
    <w:p>
      <w:pPr>
        <w:pStyle w:val="Heading2"/>
      </w:pPr>
      <w:r>
        <w:t>Regeste</w:t>
      </w:r>
    </w:p>
    <w:p>
      <w:r>
        <w:t>RISQUE DE COLLUSION, RISQUE DE RÉCIDIVE, RISQUE DE FUITE | 295 let. b CPP, 59 al. 1 CPP</w:t>
      </w:r>
    </w:p>
    <w:p>
      <w:pPr>
        <w:pStyle w:val="Heading2"/>
      </w:pPr>
      <w:r>
        <w:t>Erwägungen</w:t>
      </w:r>
    </w:p>
    <w:p>
      <w:r>
        <w:rPr>
          <w:b/>
        </w:rPr>
        <w:t>E. 1</w:t>
      </w:r>
    </w:p>
    <w:p>
      <w:r>
        <w:t>ch. 2 CPP; attendu que la proportionnalité de la détention doit être examinée au regard de l'ensemble des circonstances concrètes du cas d'espèce (ATF 133 I 168 c. 4.1 et les arrêts cités), qu'en l'espèce, H.________ est placé en détention préventive depuis le 7 août 2010, soit depuis plus 4 mois, qu'inculpé de vol en bande et par métier, tentative de vol, dommages à la propriété, violation de domicile, contravention à la LStup (Loi fédérale sur les stupéfiants et les substances psychotropes, RS 812.121), il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(ATF 132 I 21 c. 4.1; 128 I 149 c. 2.2; ATF 126 I 172 c. 5a); attendu, en définitive, que le recours est rejeté et l'ordonnance confirmée, que l'indemnité due au défenseur d'office d'H.________ est fixée à 360 fr., plus la TVA, par 27 fr. 35, soit un total de 387 fr. 35, que les frais du présent arrêt, ainsi que l'indemnité allouée à son défenseur d'office, sont mis à la charge du recourant (art. 307 CPP), que le remboursement à l'Etat de cette indemnité ne sera toutefois exigible pour autant que la situation économique d'H.________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