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1667 vom 13. Oktober 2010</w:t>
      </w:r>
    </w:p>
    <w:p>
      <w:r>
        <w:t>VD Tribunal cantonal, 2010-10-13, FR</w:t>
      </w:r>
    </w:p>
    <w:p>
      <w:r>
        <w:rPr>
          <w:b/>
        </w:rPr>
        <w:t xml:space="preserve">Quelle: </w:t>
      </w:r>
      <w:r>
        <w:t>https://mcp.opencaselaw.ch/entscheid/vd_findinfo_Arr_t___2010___1667</w:t>
      </w:r>
    </w:p>
    <w:p>
      <w:r>
        <w:t>FR: VD_FINDINFO Arrêt / 2010 / 1667 du 13 octobre 2010</w:t>
      </w:r>
    </w:p>
    <w:p>
      <w:r>
        <w:t>IT: VD_FINDINFO Arrêt / 2010 / 1667 del 13 ottobre 2010</w:t>
      </w:r>
    </w:p>
    <w:p>
      <w:pPr>
        <w:pStyle w:val="Heading2"/>
      </w:pPr>
      <w:r>
        <w:t>Regeste</w:t>
      </w:r>
    </w:p>
    <w:p>
      <w:r>
        <w:t>INTERDICTION, PROPORTIONNALITÉ, CURATELLE | 369 CC, 392 ch. 1 CC, 393 ch. 2 CC, 393 CPC</w:t>
      </w:r>
    </w:p>
    <w:p>
      <w:pPr>
        <w:pStyle w:val="Heading2"/>
      </w:pPr>
      <w:r>
        <w:t>Erwägungen</w:t>
      </w:r>
    </w:p>
    <w:p>
      <w:r>
        <w:rPr>
          <w:b/>
        </w:rPr>
        <w:t>E. 1</w:t>
      </w:r>
    </w:p>
    <w:p>
      <w:r>
        <w:t>CC par analogie; ATF 121 III 1, JT 1996 I 662). Pour le surplus, il est recevable à la forme. Il en va de même du mémoire de l'appelante et des déterminations de la pupille.</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 3 ème éd., Lausanne 2002, n. 3 ad art. 492 CPC, p. 763, par analogie). Dans le canton de Vaud, la procédure en matière d'interdiction est régie par les art. 379 ss CPC, sous réserve des règles de procédure fédérales définies aux art. 373 à 375 CC. a) Selon l'art. 379 al. 1 CPC,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B.G.________ était domicilié au Mont-sur-Lausanne lorsque l'autorité tutélaire a ordonné l'ouverture d'une enquête en interdiction civile à son encontre, de sorte que la Justice de paix du district de Lausanne était compétente. La justice de paix a entendu le dénoncé lors de son audience du 30 avril 2009 et chargé le juge de paix d'ouvrir une enquête en interdiction civile. Le juge de paix a informé le dénoncé de l'ouverture d'une telle enquête et ordonné une expertise. Il a soumis le rapport d'expertise au Conseil de santé qui a déclaré ne pas avoir d'observation à formuler. Le Ministère public a préavisé favorablement à l'instauration d'une mesure de tutelle. La Municipalité du Mont-sur-Lausanne a quant à elle indiqué qu'elle n'estimait pas nécessaire d'instaurer une mesure tutélaire en faveur du dénoncé. Au terme de l'enquête, le juge de paix a déféré la cause à la justice de paix qui a entendu le dénoncé et son épouse lors de sa séance du 27 mai 2010 avant de rendre la décision querellée. Il s'ensuit que la décision attaquée est formellement correcte et peut être examinée quant au fond.</w:t>
      </w:r>
    </w:p>
    <w:p>
      <w:r>
        <w:rPr>
          <w:b/>
        </w:rPr>
        <w:t>E. 3</w:t>
      </w:r>
    </w:p>
    <w:p>
      <w:r>
        <w:t>a) L'interdiction d'B.G.________ a été prononcée en application de l'art. 369 CC.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ème éd.,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TF 5C.74/2003 du 3 juillet 2003, in FamPra.ch 2003, p. 975; TF 5A_568/2007 du 4 février 2008). Selon le principe de proportionnalité, la mesure tutélaire doit avoir l'efficacité recherchée, tout en sauvegardant au maximum la sphère de liberté de l'intéressé (Deschenaux/Steinauer, op. cit., n. 862; Schnyder/Murer, op. cit., n. 162 ad art. 369 CC; Langenegger, Commentaire bâlois, 3 e éd., nos 29 ss ad art. 369 CC; TF 5A_550/2008 du 6 octobre 2008). Le but d'une mesure tutélaire est de protéger le faible contre lui-même et l'exploitation par des tiers. Une mesure est disproportionnée si elle est trop radicale ou trop faible pour atteindre ce but (TF 5C.74/2003 du 3 juillet 2003 c. 4.2, in FamPra.ch 2003, p. 975; Affolter, Commentaire bâlois, 3 e éd., n. 60 ad art. 406 CC, p. 2040 ; Stettler, Droit Civil I, Représentation et protection de l'adulte, 4 e éd., n. 80, pp 42 et 43). La tâche d'assister le pupille sur un plan personnel peut être confiée non seulement à un tuteur mais aussi à un conseil légal (ATF 96 II 369 c. 1d). Toutefois, l'assistance personnelle ne doit pas être le principal objet de la protection par un conseil légal. Celui-ci tend à préserver en premier lieu les intérêts - ou l'existence - économiques de la personne à assister (ATF 108 II 92 c. 4; ATF 103 II 81; TF 5C.92/1999 du 20 mai 1999 c. 4b; TF 5A_187/2007 du 13 août 2007 c. 3.3); il ne saurait, en revanche, garantir une protection suffisante lorsqu'une surveillance et une aide personnelles durables sont nécessaires; seul le tuteur a les moyens de mettre en œuvre une protection étendue (art. 406 CC; ATF 97 II 302; TF 5C.74/2003 du 3 juillet 2003 c. 4.3.1, in FamPra.ch 2003, p. 975; TF 5A_389/2007 du 19 septembre 2007 c. 4.2; TF 5C.17/2005 du 8 avril 2005 c. 5.3). D'éventuelles mesures contraignantes relèvent de la compétence du tuteur (art. 406 al. 2 CC; Stettler, op. cit., n. 305, pp 135 et 136 et la jurisprudence citée). Le conseil légal, qui n'est pas un représentant légal, ne peut en effet ni donner d'instructions ni user de contrainte envers la personne assistée; il ne peut demander un placement dans un établissement ni ordonner un traitement ambulatoire (TF 5A_550/2008 du 6 octobre 2008, c. 4.1 et 4.2). b) Il résulte de l'expertise qu'B.G.________ souffre de démence probablement d'origine vasculaire avec symptômes comportementaux et psychologiques et d'antécédents d'une symptomatologie délirante de type délire de jalousie, probablement dans le cadre d'un trouble de la personnalité de type paranoïaque aggravé par les troubles cognitifs. L'affection diagnostiquée correspond à une maladie mentale au sens de l'art. 369 CC. Ce trouble empêche l'intéressé d'apprécier la portée de ses actes et de gérer ses affaires sans les compromettre et nécessite un encadrement au sein d'un établissement médico-social. La cause de la mesure tutélaire et la condition sont dès lors réalisées et le prononcé d'une mesure tutélaire se justifiait. L'appelante fait valoir qu'elle gère les affaires administratives du couple, qu'elle ne souhaite pas séparer les comptes et que sa fille est prête à prendre la relève si elle ne peut plus assumer ce travail. Si tel devait être le cas, elle estime qu'une curatelle serait préférable à une tutelle afin de ne pas retirer à son mari tous ses droits. c) 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(Deschenaux/Steinauer, op. cit., n. 1092, pp. 409 et 410). Dans le cadre d'une telle curatelle, la mission du curateur est générale et permet d'apporter à la personne l'aide personnelle ou administrative dont elle a besoin. Une curatelle combinée est nécessaire même lorsque le pupille a accordé une procuration générale, s'il n'est pas en tout temps à même de contrôler et de surveiller, du moins en principe, ses représentants, ainsi que de les remplacer au besoin (ATF 134 III 385). En l'espèce, B.G.________ est sous le coup d'une privation de liberté à des fins d'assistance de durée indéterminée à l'EMS La Paix du Soir, où il se trouve depuis le 20 mars 2009. Il résulte de l'expertise que l'état de santé de l'expertisé nécessite un encadrement au sein d'un établissement médico-social, seule structure à même de pouvoir gérer la médication ainsi que les problèmes somatiques d'une part, les troubles cognitifs et comportementaux d'autre part. L'assistance personnelle nécessaire, notamment sur le plan médical, ne peut être donnée ambulatoirement. Le placement d'B.G.________ au sein de l'EMS paraît dès lors devoir être envisagé de manière durable compte tenu de l'avis des experts et de l'âge avancé du pupille. En sus du placement, qui apporte au dénoncé l'encadrement médical et personnel dont il a besoin, B.G.________ est entouré par sa famille, soit notamment son épouse et sa fille nommée tutrice, qui s'occupent de la gestion financière et administrative. L'interdiction civile du dénoncé paraît donc excessive et disproportionnée. Une curatelle combinée est en revanche suffisante et adéquate pour assurer au dénoncé l'aide personnelle et administrative dont il a besoin. La désignation de C.________, fille du pupille, en qualité de curatrice paraît adéquate et conforme à l'art. 380 CC. Aucun élément au dossier ne permet de penser qu'il y a des conflits familiaux qui iraient à l'encontre d'une telle nomination.</w:t>
      </w:r>
    </w:p>
    <w:p>
      <w:r>
        <w:rPr>
          <w:b/>
        </w:rPr>
        <w:t>E. 4</w:t>
      </w:r>
    </w:p>
    <w:p>
      <w:r>
        <w:t>En définitive, l'appel doit être admis et le jugement réformé aux chiffres II et III de son dispositif en ce sens qu'il est institué en faveur du dénoncé une mesure de curatelle à forme des art. 392 ch. 1 et 393 ch. 2 CC, C.________ étant désignée en qualité de curatrice. Le chiffre IV du dispositif, qui prévoit la publication de la décision, est supprimé. Le présent arrêt peut être rendu sans frais (art. 236 al. 2 TFJC, Tarif du 4 décembre 1984 des frais judiciaires en matière civile, RSV 270.11.5 et art. 396 al. 2 i. f. CPC). Par ces motifs, la Chambre des tutelles du Tribunal cantonal, statuant à huis clos, prononce : I. L'appel est admis. II. Le jugement est réformé comme il suit aux chiffres II, III et IV de son dispositif : II. institue une mesure de curatelle à forme des art. 392 ch. 1 et 393 ch. 2 CC en faveur d'B.G.________, né le 17 octobre 1918, fils de [...] et d' [...], originaire de Morrens/VD, marié, domicilié à [...]; III. nomme C.________, domiciliée à 1052 Le Mont-sur-Lausanne, en qualité de curatrice; IV. supprimé. Le jugement est confirmé pour le surplus. III. L'arrêt est rendu sans frais. Le président :              La greffière : Du 13 octobre 2010 Le dispositif de l'arrêt qui précède est communiqué par écrit aux intéressés. La greffière : Du L'arrêt qui précède, dont la rédaction a été approuvée à huis clos, est notifié à : ‑ Mme A.G.________, ‑ Mme C.________,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