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1663 vom 5. November 2010</w:t>
      </w:r>
    </w:p>
    <w:p>
      <w:r>
        <w:t>VD Tribunal cantonal, 2010-11-05, FR</w:t>
      </w:r>
    </w:p>
    <w:p>
      <w:r>
        <w:rPr>
          <w:b/>
        </w:rPr>
        <w:t xml:space="preserve">Quelle: </w:t>
      </w:r>
      <w:r>
        <w:t>https://mcp.opencaselaw.ch/entscheid/vd_findinfo_Arr_t___2010___1663</w:t>
      </w:r>
    </w:p>
    <w:p>
      <w:r>
        <w:t>FR: VD_FINDINFO Arrêt / 2010 / 1663 du 5 novembre 2010</w:t>
      </w:r>
    </w:p>
    <w:p>
      <w:r>
        <w:t>IT: VD_FINDINFO Arrêt / 2010 / 1663 del 5 novembre 2010</w:t>
      </w:r>
    </w:p>
    <w:p>
      <w:pPr>
        <w:pStyle w:val="Heading2"/>
      </w:pPr>
      <w:r>
        <w:t>Regeste</w:t>
      </w:r>
    </w:p>
    <w:p>
      <w:r>
        <w:t>NON-LIEU, FRAIS DE LA PROCÉDURE | 159 CPP, 260 CPP, 294 let. f CPP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vols avaient été commis dans son appartement depuis le dépôt de sa plainte le 10 juin 2010 (PV aud. 1), qu'elle a ajouté avoir été mise sous écoute par la police de Saint-Gall lors de sa naissance afin de protéger le secret bancaire et les intérêts politico-économiques de la police et des autorités (ibidem), que les investigations menées par la police n'ont pas permis d'établir que cette dernière aurait été victime de vols à réitérées reprises, ni d'identifier l'auteur des prétendues infractions (P. 6/1), qu'en particulier, aucune trace d'effraction n'a été constatée par la police sur la porte d'entrée de l'appartement de la plaignante le 9 juin 2010, alors qu'elle soutenait que ladite porte avait été forcée (ibidem), qu'au vu de ses déclarations, la plaignante aurait dû s'abstenir de déposer une plainte pénale, que P.________ a dès lors agi avec témérité et légèreté conformément à l'art. 159 CP, que c'est donc à juste titre que le magistrat instructeur a prononcé un non-lieu et mis les frais, par 375 fr., à la charge de la plaignante; attendu, en définitive, que le recours est rejeté et l'ordonnance confirmée, que les frais du présent arrêt sont mis à la charge de la recourante (art. 307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