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1500 vom 16. September 2010</w:t>
      </w:r>
    </w:p>
    <w:p>
      <w:r>
        <w:t>VD Tribunal cantonal, 2010-09-16, FR</w:t>
      </w:r>
    </w:p>
    <w:p>
      <w:r>
        <w:rPr>
          <w:b/>
        </w:rPr>
        <w:t xml:space="preserve">Quelle: </w:t>
      </w:r>
      <w:r>
        <w:t>https://mcp.opencaselaw.ch/entscheid/vd_findinfo_Arr_t___2010___1500</w:t>
      </w:r>
    </w:p>
    <w:p>
      <w:r>
        <w:t>FR: VD_FINDINFO Arrêt / 2010 / 1500 du 16 septembre 2010</w:t>
      </w:r>
    </w:p>
    <w:p>
      <w:r>
        <w:t>IT: VD_FINDINFO Arrêt / 2010 / 1500 del 16 settembre 2010</w:t>
      </w:r>
    </w:p>
    <w:p>
      <w:pPr>
        <w:pStyle w:val="Heading2"/>
      </w:pPr>
      <w:r>
        <w:t>Regeste</w:t>
      </w:r>
    </w:p>
    <w:p>
      <w:r>
        <w:t>INTERDICTION, CHANGEMENT DE DOMICILE | 369 CC, 393 CPC</w:t>
      </w:r>
    </w:p>
    <w:p>
      <w:pPr>
        <w:pStyle w:val="Heading2"/>
      </w:pPr>
      <w:r>
        <w:t>Erwägungen</w:t>
      </w:r>
    </w:p>
    <w:p>
      <w:r>
        <w:rPr>
          <w:b/>
        </w:rPr>
        <w:t>E. 1</w:t>
      </w:r>
    </w:p>
    <w:p>
      <w:r>
        <w:t>L'appel est dirigé contre une décision de l'autorité tutélaire instituant une mesure de tutelle à forme de l'art. 369 CC (Code civil suisse du 10 décembre 1907, RS 210) en faveur de l'appelante. a) Conformément à l'art. 393 CPC (Code de procédure civile du 14 décembre 1966, RSV 270.11),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169-170). b) En l'espèce, interjeté en temps utile par la personne interdite elle-même, l'appel est recevable. Il en va de même de la pièce produite à l'appui de son écriture (art. 393 al. 3 CPC), des déterminations de la Tutrice générale et du mémoire de la dénonçante. Le mémoire ampliatif de l'appelante a été déposé par le conseiller juridique T.________. Si l'appelante a fait élection de domicile auprès du prénommé, il n'en demeure pas moins que celui-ci n'est pas habilité à représenter professionnellement une partie dans une procédure judiciaire (art. 3 LReP, loi du 5 septembre 1944 sur la représentation des parties, RSV 176.11). Compte tenu du fait que l'avis impartissant à l'appelante un délai pour déposer un mémoire a été envoyé à l'adresse du conseiller juridique, le mémoire ampliatif est exceptionnellement recevable. T.________ s'expose toutefois à une dénonciation en cas de récidive (art. 8 al. 1 LReP).</w:t>
      </w:r>
    </w:p>
    <w:p>
      <w:r>
        <w:rPr>
          <w:b/>
        </w:rPr>
        <w:t>E. 2</w:t>
      </w:r>
    </w:p>
    <w:p>
      <w:r>
        <w:t>L'appelante invoque l'art. 444 al. 1 CPC et conclut à la nullité. Elle soutient que la Justice de paix du district d'Aigle n'était pas compétente pour prononcer son interdiction vu sa domiciliation en France dès le 18 février 2010. a) Selon l'art. 379 al. 1 CPC, les demandes d'interdiction formées par les particuliers ou une autorité administrative sont adressées à la justice de paix du domicile de la personne à interdire. Cette règle correspond à la norme fédérale régissant le for tutélaire (art. 376 al. 1 CC). En cas de changement de domicile durant la procédure d'interdiction, les autorités de tutelle de l'ancien domicile restent compétentes ratione loci (Deschenaux/Steinauer, Personnes physiques et tutelle, 4 ème éd., 2001, n. 858c, p 338 et les références citées; Poudret/Haldy/Tappy, Procédure civile vaudoise, 3 ème éd., Lausanne 2002, n. 1 ad art. 379 CPC, p. 586). Le Tribunal fédéral a précisé que le domicile au moment de l'introduction de la procédure est décisif; la compétence ainsi établie subsiste jusqu'à la conclusion définitive de la procédure, afin d'éviter qu'un changement de domicile de l'intéressé puisse retarder ou entraver son aboutissement (TF 5C.200/2002 du 16 octobre 2002 c. 2, rés. in RDT 2003 p. 131 [RJ 26.03]). L'introduction de la procédure est une notion qui relève du droit fédéral. La procédure doit être considérée comme introduite dès la première fois où il apparaît que l'autorité s'est saisie de l'instruction d'une cause susceptible d'aboutir à une mesure tutélaire (Geiser, Basler Kommentar,</w:t>
      </w:r>
    </w:p>
    <w:p>
      <w:r>
        <w:rPr>
          <w:b/>
        </w:rPr>
        <w:t>E. 3</w:t>
      </w:r>
    </w:p>
    <w:p>
      <w:r>
        <w:t>En matière non contentieuse, la Chambre des tutelles peut examiner d'office si les règles essentielles de la procédure d'interdiction, dont la violation pourrait entraîner l'annulation du jugement attaqué, ont été respectées (Poudret/ Haldy/Tappy, op. cit., n. 3 ad art. 492 CPC, p. 763, par analogie). Dans le canton de Vaud, la procédure en matière d'interdiction est régie par les art. 379 ss CPC, sous réserve des règles de procédure fédérales définies aux art. 373 à 375 CC. a)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le juge de paix a procédé à une enquête et ordonné une expertise. Il a soumis le rapport d'expertise au Conseil de santé qui a déclaré ne pas avoir d'observation à formuler. Le Ministère public a préavisé favorablement à l'instauration d'une mesure de tutelle. La Commune de Bex a quant à elle indiqué qu'elle n'avait pas d'objection à l'institution d'une telle mesure. Au terme de l'enquête, le juge de paix a déféré la cause à la justice de paix qui a entendu la dénoncée et la dénonçante, assistée de son conseil, lors de sa séance du 21 mai 2010, avant de rendre la décision querellée. Il s'ensuit que le jugement attaqué est formellement correct et qu'il peut être examiné quant au fond.</w:t>
      </w:r>
    </w:p>
    <w:p>
      <w:r>
        <w:rPr>
          <w:b/>
        </w:rPr>
        <w:t>E. 4</w:t>
      </w:r>
    </w:p>
    <w:p>
      <w:r>
        <w:t>a) L'interdiction de A.M.________ a été prononcée en application de l'art. 369 CC.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Quant au besoin de soins et secours permanents, il vise avant tout les affaires d'ordre personnel (TF 5C.262/2002 du 6 mars 2003, in FamPra.ch 2003, p. 737,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TF 5C.74/2003 du 3 juillet 2003, in FamPra.ch 2003, p. 975; TF 5A_568/2007 du 4 février 2008). Selon le principe de proportionnalité, la mesure tutélaire doit avoir l'efficacité recherchée, tout en sauvegardant au maximum la sphère de liberté de l'intéressé (Deschenaux/Steinauer, op. cit., n. 862; Schnyder/Murer, op. cit., n. 162 ad art. 369 CC; Langenegger, Commentaire bâlois, 3 e éd., nos 29 ss ad art. 369 CC; TF 5A_550/2008 du 6 octobre 2008). Le but d'une mesure tutélaire est de protéger le faible contre lui-même et l'exploitation par des tiers. Une mesure est disproportionnée si elle est trop radicale ou trop faible pour atteindre ce but (TF 5C.74/2003 du 3 juillet 2003 c. 4.2, in FamPra.ch 2003, p. 975; Affolter, Commentaire bâlois, 3 e éd., n. 60 ad art. 406 CC, p. 2040 ; Stettler, Droit Civil I, Représentation et protection de l'adulte, 4 e éd., n. 80, pp 42 et 43). La tâche d'assister le pupille sur un plan personnel peut être confiée non seulement à un tuteur mais aussi à un conseil légal (ATF 96 II 369 c. 1d). Toutefois, l'assistance personnelle ne doit pas être le principal objet de la protection par un conseil légal. Celui-ci tend à préserver en premier lieu les intérêts - ou l'existence - économiques de la personne à assister (ATF 108 II 92 c. 4; ATF 103 II 81; TF 5C.92/1999 du 20 mai 1999 c. 4b; TF 5A_187/2007 du 13 août 2007 c. 3.3); il ne saurait, en revanche, garantir une protection suffisante lorsqu'une surveillance et une aide personnelles durables sont nécessaires; seul le tuteur a les moyens de mettre en œuvre une protection étendue (art. 406 CC; ATF 97 II 302; TF 5C.74/2003 du 3 juillet 2003 c. 4.3.1, in FamPra.ch 2003, p. 975; TF 5A_389/2007 du 19 septembre 2007 c. 4.2; TF 5C.17/2005 du 8 avril 2005 c. 5.3). D'éventuelles mesures contraignantes relèvent de la compétence du tuteur (art. 406 al. 2 CC; Stettler, op. cit., n. 305, pp 135 et 136 et la jurisprudence citée). Le conseil légal, qui n'est pas un représentant légal, ne peut en effet ni donner d'instructions ni user de contrainte envers la personne assistée; il ne peut demander un placement dans un établissement ni ordonner un traitement ambulatoire (ATF 96 II 369 c. 1d). b) En l'espèce, il ressort des conclusions de l'expertise que l'appelante est atteinte de psychose paranoïaque décompensée, soit d'un trouble psychiatrique correspondant à une maladie mentale. Ce trouble empêche l'intéressée d'apprécier la portée de ses actes et de gérer ses affaires sans les compromettre et nécessite une assistance et une aide permanente sur le plan ambulatoire. La cause de la mesure tutélaire et la condition sont dès lors réalisées et le prononcé d'une interdiction se justifiait. Vu le déni de la maladie de l'appelante et son refus de coopérer aux démarches nécessaires, seule une mesure de tutelle paraît à même d'assurer à l'appelante l'assistance personnelle dont elle a besoin ainsi qu'une gestion raisonnable de ses affaires financières et des actifs successoraux qui vont lui échoir dans le partage. Le déménagement de l'appelante en France ne la prive pas de la nécessité de cette mesure tutélaire. Tout au plus appartiendra-t-il à la justice de paix de transmettre la décision aux autorités françaises. Au vu de ce qui précède, l'interdiction civile de l'appelante est justifiée au regard de l'art. 369 CC et conforme aux principes de subsidiarité et de proportionnalité.</w:t>
      </w:r>
    </w:p>
    <w:p>
      <w:r>
        <w:rPr>
          <w:b/>
        </w:rPr>
        <w:t>E. 5</w:t>
      </w:r>
    </w:p>
    <w:p>
      <w:r>
        <w:t>En définitive, l'appel interjeté par A.M.________ doit être rejeté et la décision entreprise confirmée. Compte tenu des circonstances, le présent arrêt peut être rendu sans frais (art. 236 al. 2 TFJC, Tarif du 4 décembre 1984 des frais judiciaires en matière civile, RSV 270.11.5 et art. 396 al. 2 i. f. CPC). La dénonçante, qui a procédé par l'intermédiaire d'un mandataire professionnel, a droit à des dépens de deuxième instance qu'il convient d'arrêter à 600 fr., à la charge de la dénoncée (art. 91 et 92 CPC). Par ces motifs, la Chambre des tutelles du Tribunal cantonal, statuant à huis clos, prononce : I. L'appel est rejeté. II. La décision est confirmée. III. L'appelante A.M.________ doit verser à l'intimée B.M.________ la somme de 600 fr. (six cents francs) à titre de dépens de deuxième instance. IV. L'arrêt est rendu sans frais. Le président :              La greffière : Du 16 septembre 2010 Le dispositif de l'arrêt qui précède est communiqué par écrit aux intéressés. La greffière : Du L'arrêt qui précède, dont la rédaction a été approuvée à huis clos, est notifié à : ‑ M. T.________ (pour A.M.________), ‑ Me Jacques Micheli (pour B.M.________), - Mme la Tutrice générale,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