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1281 vom 28. Juni 2010</w:t>
      </w:r>
    </w:p>
    <w:p>
      <w:r>
        <w:t>VD Tribunal cantonal, 2010-06-28, FR</w:t>
      </w:r>
    </w:p>
    <w:p>
      <w:r>
        <w:rPr>
          <w:b/>
        </w:rPr>
        <w:t xml:space="preserve">Quelle: </w:t>
      </w:r>
      <w:r>
        <w:t>https://mcp.opencaselaw.ch/entscheid/vd_findinfo_Arr_t___2010___1281</w:t>
      </w:r>
    </w:p>
    <w:p>
      <w:r>
        <w:t>FR: VD_FINDINFO Arrêt / 2010 / 1281 du 28 juin 2010</w:t>
      </w:r>
    </w:p>
    <w:p>
      <w:r>
        <w:t>IT: VD_FINDINFO Arrêt / 2010 / 1281 del 28 giugno 2010</w:t>
      </w:r>
    </w:p>
    <w:p>
      <w:pPr>
        <w:pStyle w:val="Heading2"/>
      </w:pPr>
      <w:r>
        <w:t>Regeste</w:t>
      </w:r>
    </w:p>
    <w:p>
      <w:r>
        <w:t>EXPERTISE PSYCHOLOGIQUE | 233 CPP, 294 let. e CPP</w:t>
      </w:r>
    </w:p>
    <w:p>
      <w:pPr>
        <w:pStyle w:val="Heading2"/>
      </w:pPr>
      <w:r>
        <w:t>Volltext</w:t>
      </w:r>
    </w:p>
    <w:p>
      <w:r>
        <w:t>Vaud Tribunal cantonal Tribunal d'accusation 27.09.2010 Arrêt / 2010 / 1281</w:t>
      </w:r>
    </w:p>
    <w:p>
      <w:r>
        <w:t>EXPERTISE PSYCHOLOGIQUE | 233 CPP, 294 let. e CPP</w:t>
      </w:r>
    </w:p>
    <w:p>
      <w:r>
        <w:t>TRIBUNAL CANTONAL 506 TRIBUNAL D’ACCUSATION _________________________________ Séance du 27 septembre 2010 ________________________ Présidence de               M. Meylan , président Juges :              M. Sauterel et Mme Byrde Greffier : M.              Müller ***** Art. 233, 294 let. e CPP Vu l'enquête n° PE08.007506-DJA instruite par le Juge d'instruction de l'arrondissement de Lausanne contre C.S.________ et B.S.________ , pour voies de fait qualifiées, lésions corporelles simples qualifiées et violation du devoir d'assistance et d'éducation, d'office et sur dénonciation du SERVICE DE PROTECTION DE LA JEUNESSE , vu l'ordonnance du 28 juin 2010, par laquelle le magistrat instructeur a rejeté les demandes d'expertise de crédibilité de G.________ , fils de C.S.________, présentées par B.S.________ et C.S.________, vu les recours exercés en temps utile par les prénommés contre cette décision, vu les déterminations de G.________, vu les pièces du dossier; attendu que le Service de Protection de la Jeunesse a dénoncé B.S.________ et C.S.________ pour voies de fait qualifiées, lésions corporelles simples qualifiées et violation du devoir d'assistance et d'éducation, qu'il les soupçonne d'avoir maltraité physiquement leurs enfants G.________ et sa sœur [...], que par requêtes du 22 janvier 2010, B.S.________ et  C.S.________ ont demandé à ce que G.________ soit soumis à une expertise de crédibilité, que, par ordonnance du 28 juin 2010, le magistrat instructeur a rejeté les demandes d'expertise de crédibilité de G.________ formulées par B.S.________ et C.S.________, considérants notamment que les déclarations de l'enfant étaient claires et cohérentes et qu'il n'y avait aucune circonstance qui justifierait de le soumettre à une expertise de crédibilité, que B.S.________ et C.S.________ contestent cette décision; attendu que les recours interjetés par les prénommés tendent tous deux à l'annulation de l'ordonnance du 28 juin 2010 et à la mise en œuvre d'une expertise de crédibilité de G.________, qu'ils invoquent les mêmes motifs, que les deux recours peuvent donc être examinés simultanément; attendu qu'une expertise de crédibilité ne peut être ordonnée qu'en présence de circonstances particulières (ATF 128 I 81 c. 2; ATF 1B_36/2010 du 19 avril 2010 c. 3.1), que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(ATF 1B_36/2010 du 19 avril 2010 c. 3.1), qu'il faut également observer dans quelle mesure ses déclarations sont compatibles avec les autres éléments de preuve recueillis (ibid.), que l'âge de l'auteur de la déposition, son degré de développement et son état de santé psychique de même que la portée de ses déclarations eu égard à l'ensemble des preuves administrées entrent également en considération (ibid.), qu'ainsi, ce type d'expertise s'impose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(ATF 1P.453/2005 du 9 décembre 2005, c. 2.1; ATF 129 IV 179 c. 2.4), qu'en revanche, si les déclarations d'un enfant sont claires et compréhensibles sans que des connaissances psychologiques spécifiques soient nécessaires à leur interprétation, le juge n'a pas à mettre en oeuvre une expertise (TF 6P.2/2005 du 11 février 2005 c. 4.1), qu'en l'espèce, G.________ était âgé de huit ans lorsqu'il a été entendu par la police, que ses déclarations ont été claires et cohérentes, qu'il existe une corrélation entre les lésions observées (P. 8/2 et 8/6) et les propos de l'enfant, ainsi qu'avec la charge émotionnelle qu'il a manifestée en dévoilant les faits, que l'enfant a été reconnu crédible par les différents intervenants spécialisés, à savoir la psychologue scolaire, l'enseignante, les éducateurs du [...] et le Service de Protection de la Jeunesse, qu'à l'inverse, les déclarations des deux prévenus ne sont ni constantes ni concordantes et sont, de surcroît, contredites par l'avis médical, que C.S.________ s'est en particulier contredite en déclarant tout d'abord que son mari n'avait jamais donné de fessée à leur enfant (PV aud. 2, p. 1), puis en affirmant, lors de la même audition, qu'il l'avait fessé une fois, et enfin en admettant qu'il l'avait fait à deux reprises (PV aud. 5, p. 5), que de son côté, B.S.________ a déclaré n'avoir donné une fessée à G.________ qu'une seule fois (cf. PV aud. 3 et PV aud. 4, p. 2), qu'ils ont également nié l'utilisation d'une ceinture (PV aud. 2, p. 1, PV aud. 3 et PV aud. 4, p. 4), avant que C.S.________ n'admette que B.S.________ en avait fait usage, comme cela se pratique en Afrique (PV aud. 5, p. 5), qu'en outre, le médecin scolaire a attesté du fait que la marque correspondait bien à celle d'une ceinture (P. 8/2), que les déclarations des prévenus sont donc sujettes à caution, que les thérapeutes font état de suspicions de maltraitance, que sur le plan psychologique, les test projectifs ont révélé que G.________ aurait des difficultés à différencier imaginaire et réalité (P. 8/6), que, selon les thérapeutes, ces difficultés ne mettent toutefois pas en doute les soupçons de maltraitance, qu'au vu de ce qui précède, c'est à bon droit que le Juge d'instruction de l'arrondissement de Lausanne a refusé de mettre en œuvre une expertise de crédibilité de G.________; attendu, en définitive, que les recours de C.S.________ et de B.S.________ sont rejetés et l'ordonnance confirmée, que l'indemnité du défenseur d'office de B.S.________ est fixée à 360 fr., plus la TVA, par 27 fr. 35, soit 387 fr. 35, que l'indemnité du défenseur d'office de C.S.________ est fixée à 330 fr., que les frais du présent arrêt, par moitié chacun, ainsi que les indemnités allouées à leurs défenseurs d'office respectifs sont mis à la charge des recourants (art. 307 CPP), que le remboursement à l'Etat de ces indemnités ne sera toutefois exigible que pour autant que la situation économique de C.S.________ et de B.S.________ se soit améliorée. Par ces motifs, le Tribunal d'accusation, statuant à huis clos : I. Rejette les recours de C.S.________ et de B.S.________. II. Confirme l'ordonnance. III. Fixe à 387 fr. 35 (trois cent huitante-sept francs et trente-cinq centimes) l'indemnité due au défenseur d'office de B.S.________. IV. Fixe à 330 fr. (trois cent trente francs) l'indemnité due au défenseur d'office de C.S.________. V. Dit que la moitié des frais d'arrêt, soit 220 fr. (deux cent vingt francs), ainsi que l'indemnité due au défenseur d'office de B.S.________, par 387 fr. 35 (trois cent huitante-sept francs et trente-cinq centimes), sont mis à la charge de ce dernier. VI. Dit que la moitié des frais d'arrêt, soit 220 fr. (deux cent vingt francs), ainsi que l'indemnité due au défenseur d'office de C.S.________, par 330 fr. (trois cent trente francs), sont mis à la charge de cette dernière. VII. Dit que le remboursement à l'Etat des indemnités allouées aux chiffres III et IV ci-dessus sera exigible pour autant que la situation économique de B.S.________ et de C.S.________ se soit améliorée. VIII. Déclare l'arrêt exécutoire. Le président :               Le greffier : Du L'arrêt qui précède, dont la rédaction a été approuvée à huis clos, est notifié aux conseils des parties, ainsi qu’au Ministère public, par l'envoi d'une copie complète : - M. Yan Schumacher, avocat (pour C.S.________), - Mme Cornelia Seeger Tappy, avocate (pour B.S.________), - Mme Carole Sonnenberg, avocate-stagiaire (pour G.________).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