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1230 vom 10. August 2010</w:t>
      </w:r>
    </w:p>
    <w:p>
      <w:r>
        <w:t>VD Tribunal cantonal, 2010-08-10, FR</w:t>
      </w:r>
    </w:p>
    <w:p>
      <w:r>
        <w:rPr>
          <w:b/>
        </w:rPr>
        <w:t xml:space="preserve">Quelle: </w:t>
      </w:r>
      <w:r>
        <w:t>https://mcp.opencaselaw.ch/entscheid/vd_findinfo_Arr_t___2010___1230</w:t>
      </w:r>
    </w:p>
    <w:p>
      <w:r>
        <w:t>FR: VD_FINDINFO Arrêt / 2010 / 1230 du 10 août 2010</w:t>
      </w:r>
    </w:p>
    <w:p>
      <w:r>
        <w:t>IT: VD_FINDINFO Arrêt / 2010 / 1230 del 10 agosto 2010</w:t>
      </w:r>
    </w:p>
    <w:p>
      <w:pPr>
        <w:pStyle w:val="Heading2"/>
      </w:pPr>
      <w:r>
        <w:t>Regeste</w:t>
      </w:r>
    </w:p>
    <w:p>
      <w:r>
        <w:t>NON-LIEU, CONTRAINTE{DROIT PÉNAL} | 260 CPP, 294 let. f CPP</w:t>
      </w:r>
    </w:p>
    <w:p>
      <w:pPr>
        <w:pStyle w:val="Heading2"/>
      </w:pPr>
      <w:r>
        <w:t>Volltext</w:t>
      </w:r>
    </w:p>
    <w:p>
      <w:r>
        <w:t>Vaud Tribunal cantonal Tribunal d'accusation 13.09.2010 Arrêt / 2010 / 1230</w:t>
      </w:r>
    </w:p>
    <w:p>
      <w:r>
        <w:t>NON-LIEU, CONTRAINTE{DROIT PÉNAL} | 260 CPP, 294 let. f CPP</w:t>
      </w:r>
    </w:p>
    <w:p>
      <w:r>
        <w:t>TRIBUNAL CANTONAL 491 TRIBUNAL D’ACCUSATION _________________________________ Séance du 13 septembre 2010 _________________________ Présidence de               M. Meylan , président Juges :              M. Krieger et Mme Byrde Greffier : M.              Müller ***** Art. 260, 294 let. f CPP Vu l'enquête n° PE09.021897-DBT instruite par le Juge d'instruction de l'arrondissement de Lausanne contre M.________ SA , pour contrainte, d'office et sur plainte de B.________ , vu l'ordonnance du 10 août 2010, par laquelle le magistrat instructeur a prononcé un non-lieu en faveur de M.________ SA et a mis les frais à la charge de l'Etat, vu le recours exercé en temps utile par B.________ contre cette décision, vu les déterminations de M.________ SA, vu les pièces du dossier; attendu que B.________ a déposé plainte le 31 août 2009 contre M.________ SA, pour contrainte, qu'il lui reproche d'avoir conditionné la reformulation du certificat de travail signé le 30 avril 2009 et le versement en espèces du solde de vacances à la conclusion d'un accord global sur le litige qui les oppose en droit du travail, que le magistrat instructeur a prononcé un non-lieu en faveur de M.________ SA, considérant que, faute d'illicéité, l'infraction de contrainte n'était pas réalisée, que B.________ conteste cette décision;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qu'en d'autres termes, l'infraction consiste à employer intentionnellement un moyen de contrainte illicite et à obliger ainsi une personne à un comportement déterminé (Corboz, Les infractions en droit suisse, vol. I, Berne 2002, n. 1 ad art. 181 CP), que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n. 21 ad art. 181 CP et les arrêts cités), qu'en l'espèce, le recourant allègue que chaque employeur est tenu de délivrer un certificat de travail, que le Code des obligations prévoit effectivement que l'employeur est tenu de délivrer un tel certificat (art. 320a CO), qu'en délivrant un certificat de travail à B.________ au mois d'avril 2009, M.________ SA a donc satisfait à ses obligations, que contrairement à ce que semble croire le recourant, l'obligation ne tient toutefois qu'au fait de délivrer l'acte, que l'employeur reste en effet libre de rédiger le document comme il l'entend, que si l'employé conteste la teneur du document, il peut saisir la justice civile, que le fait de conditionner la modification du certificat de travail en des termes plus favorables à la conclusion d'un accord global n'est donc pas illicite, que la jurisprudence invoquée par le recourant (ATF 107 IV 35, JT 1982 IV 111) vise le cas de la menace de refus de délivrer un certificat de travail en tant que moyen de pression, qu'elle ne lui est par conséquent d'aucun secours dans le cas présent puisqu'il a obtenu un tel certificat, même si son contenu ne lui convient pas, que M.________ SA n'a donc pas agi de manière illicite, que l'infraction de contrainte n'est dès lors pas réalisée, que, dans ces circonstances, c'est à juste titre que le magistrat instructeur a prononcé un non-lieu en faveur de M.________ SA;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d'arrêt sont mis à la charge du recourant (art. 307 CPP). Par ces motifs, le Tribunal d'accusation, statuant à huis clos : I. Rejette le recours. II. Confirme l'ordonnance. III. Dit que les frais d'arrêt, par 330 fr. (trois cent trente francs), sont mis à la charge de B.________. IV. Déclare l'arrêt exécutoire. Le président :               Le greffier : Du L'arrêt qui précède, dont la rédaction a été approuvée à huis clos, est notifié aux parties, ainsi qu’au Ministère public, par l'envoi d'une copie complète : - M. B.________, - Mme Lorraine Ruf, avocate (pour M.________ 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