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1147 vom 17. September 2010</w:t>
      </w:r>
    </w:p>
    <w:p>
      <w:r>
        <w:t>VD Tribunal cantonal, 2010-09-17, FR</w:t>
      </w:r>
    </w:p>
    <w:p>
      <w:r>
        <w:rPr>
          <w:b/>
        </w:rPr>
        <w:t xml:space="preserve">Quelle: </w:t>
      </w:r>
      <w:r>
        <w:t>https://mcp.opencaselaw.ch/entscheid/vd_findinfo_Arr_t___2010___1147</w:t>
      </w:r>
    </w:p>
    <w:p>
      <w:r>
        <w:t>FR: VD_FINDINFO Arrêt / 2010 / 1147 du 17 septembre 2010</w:t>
      </w:r>
    </w:p>
    <w:p>
      <w:r>
        <w:t>IT: VD_FINDINFO Arrêt / 2010 / 1147 del 17 settembre 2010</w:t>
      </w:r>
    </w:p>
    <w:p>
      <w:pPr>
        <w:pStyle w:val="Heading2"/>
      </w:pPr>
      <w:r>
        <w:t>Regeste</w:t>
      </w:r>
    </w:p>
    <w:p>
      <w:r>
        <w:t>LOI FÉDÉRALE SUR L'ASSURANCE-INVALIDITÉ, RENTE D'INVALIDITÉ, DROIT À LA PRESTATION D'ASSURANCE, ÉVALUATION DE L'INCAPACITÉ DE TRAVAIL, ÉVALUATION DE L'INVALIDITÉ, TROUBLE SOMATOFORME DOULOUREUX, COMPARAISON DES REVENUS, FORCE PROBANTE | 28 al. 2 LAI, 16 LPGA, 6 LPGA, 7 LPGA, 8 al. 1 LPGA</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compte tenu des féries d'été (art. 38 al. 4 let. b et 60 al. 1 LPGA [loi fédérale du 6 octobre 2000 sur la partie générale du droit des assurances sociales, RS 830.1]); il satisfait en outre aux autres conditions légales (art. 61 let. b LPGA), de sorte qu’il est recevable en la forme.</w:t>
      </w:r>
    </w:p>
    <w:p>
      <w:r>
        <w:rPr>
          <w:b/>
        </w:rPr>
        <w:t>E. 2</w:t>
      </w:r>
    </w:p>
    <w:p>
      <w:r>
        <w:t>a) Est litigieuse en l'espèce la question du taux d’invalidité du recourant et de son éventuel droit à une rente AI. Le recourant soutient que son état de santé ne lui permet pas de reprendre une quelconque activité professionnelle. Il sollicite l'octroi d'une rente entière d'invalidité, se bornant à conclure à l'octroi de cette prestation. L’OAI estime quant à lui que le recourant conserve une capacité de travail exigible de 100% dans une activité adaptée à ses limitations fonctionnelles somatiques, de sorte que le droit à une rente d'invalidité n'est pas ouvert.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c)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les revenus chiffrés sont comparés et le taux d’invalidité issu de cette comparaison est exprimé en pour-cent (ATF 114 V 310 consid. 3a et les références; TF 9C_900/2009 du 27 avril 2010,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TF 8C_862/2008 du 19 août 2009, consid. 4.2).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9C_499/2009 du 16 décembre 2009, consid. 4.2).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TF 9C_451/2009 du 22 mars 2010, consid. 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 e) Le juge des assurances sociales doit examiner tous les moyens de preuve, quelle qu'en soit la provenance, puis décider si les documents permettent de porter un jugement valable sur le droit litigieux. En présence d'avis médicaux contradictoires, il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TF 9C_609/2009 du 15 avril 2010, consid. 4.1). En particulier, la jurisprudence reconnaît qu'un rapport qui émane d'un SMR au sens de l'art. 69 al. 4 RAI (règlement sur l’assurance-invalidité, RS 831.201) a une valeur probante s'il remplit les exigences requises par la jurisprudence (ATF 125 V 351 consid. 3a; TFA I 573/04 du 10 novembre 2005, consid. 5.2;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TF 9C_844/2009 du 29 mars 2010, consid. 4.3).</w:t>
      </w:r>
    </w:p>
    <w:p>
      <w:r>
        <w:rPr>
          <w:b/>
        </w:rPr>
        <w:t>E. 3</w:t>
      </w:r>
    </w:p>
    <w:p>
      <w:r>
        <w:t>a) En l’espèce, la décision attaquée se fonde essentiellement sur le rapport d'examen bidisciplinaire du SMR du 1 er mars 2006, lequel parvient à la conclusion que le recourant conserve une pleine capacité de travail dans une activité adaptée à ses limitations fonctionnelles somatiques à compter du mois de juin 2003. b) D'un point de vue somatique, ce rapport relève que les troubles dégénératifs du rachis et de l'épaule n'expliquent qu'une partie des symptômes présentés et qu'il existe une importante discordance entre l'atteinte à la santé objectivable et les plaintes du recourant. Il retient un certain nombre de limitations fonctionnelles, décrites précisément, qui contre-indiquent la reprise de l'activité professionnelle antérieure, mais n'empêchent pas l'assuré d'exercer une activité adaptée à 100 pour-cent. Cette appréciation résulte d'examens approfondis et d'une bonne connaissance du dossier, de sorte qu'il n'y a pas lieu de s'en écarter. Elle ne saurait en particulier être remise en cause par l'avis opposé du médecin traitant du recourant, le Dr C.________, lequel est moins documenté et motivé. L'assuré ne prétend d'ailleurs pas que les conclusions du SMR sur le plan somatique soient erronées, se limitant à reprocher à l'intimé une absence de prise en considération de son affection artérielle. A cet égard, il sied de constater que le Dr P.________ n'a prescrit qu'un arrêt de travail limité à six jours et que les nouvelles limitations fonctionnelles engendrées ne sont pas nombreuses et complexes au point de diminuer la capacité de travail exigible dans une activité adaptée, comme le relève à juste titre le SMR dans son avis du 13 janvier 2009. c) Sous l'angle psychique, le Dr B.________ du SMR explique de manière systématique et détaillée les raisons pour lesquelles il estime que le syndrome douloureux somatoforme persistant et le trouble anxieux et dépressif mixte diagnostiqués n'ont pas de répercussion sur la capacité de travail. Il relève en particulier que la comorbidité psychiatrique ne revêt pas une importance et une gravité suffisantes pour être invalidante, que le syndrome anxio-dépressif constitue un phénomène d'accompagnement des douleurs chroniques et qu'il existe des divergences conséquentes entre les douleurs décrites et les constatations médicales. Ces considérations rejoignent celles qui figurent dans l'expertise judiciaire du Dr F.________, qui constate également un certain degré de discordance entre les plaintes formulées par le recourant et les constatations objectives. S'il reconnaît le caractère pathologique de la personnalité de l'assuré, il estime néanmoins que les troubles présentés ne sont pas d'une gravité telle qu'ils justifient une incapacité de travail. En effet, l'expert est d'avis que le trouble dépressif doit être qualifié tout au plus de sévérité moyenne et qu'il ne constitue pas une affection séparée du syndrome somatoforme douloureux. Il relève en outre que le recourant conserve d'importantes ressources et qu'il n'a pas connu de difficultés particulières jusqu'à aujourd'hui, quand bien même les troubles de la personnalité remontent au début de l'âge adulte. Il indique enfin qu'il n'y a ni véritable cristallisation de la pathologie psychique, ni perte d'intégration sociale, dès lors que la symptomatologie n'est pas totalement fixée et que l'intéressé conserve un réseau social non négligeable. En conséquence, l'expert considère que le traitement administré est adéquat et qu'il est raisonnablement exigible de la part du recourant qu'il reprenne à plein temps une activité adaptée à ses limitations fonctionnelles somatiques. Le rapport d'expertise psychiatrique du 29 octobre 2009 et son complément du 14 décembre suivant procèdent d'un examen attentif du dossier médical et de deux consultations du recourant, et répondent de manière claire et motivée aux questions posées, ainsi qu'à la systématique propre aux troubles dont il est question. Ils remplissent ainsi parfaitement les conditions jurisprudentielles permettant de leur reconnaître une pleine valeur probante (cf. supra, consid. 2e). Cela étant, les conclusions de l'expert psychiatre doivent supplanter celles du Dr C.________, lequel n'est pas spécialiste et est naturellement plus enclin à se prononcer en faveur de son patient, ainsi que celles des Drs V.________ et H.________, dont le rapport du 30 juin 2004 est moins étayé et plus ancien. Quant au Dr Q.________, il ne se prononce pas clairement sur la capacité de travail exigible. d) Au vu de ces éléments, il y a lieu de retenir, à l'instar de l'autorité intimée, que le recourant dispose d'une capacité de travail exigible de 0% dans son ancienne profession, mais de 100% dans une activité adaptée à ses limitations fonctionnelles somatiques, depuis le mois de juin 2003.</w:t>
      </w:r>
    </w:p>
    <w:p>
      <w:r>
        <w:rPr>
          <w:b/>
        </w:rPr>
        <w:t>E. 4</w:t>
      </w:r>
    </w:p>
    <w:p>
      <w:r>
        <w:t>S’agissant du calcul du préjudice économique, non contesté par le recourant, la comparaison des revenus telle qu’effectuée par l’OAI n'apparaît pas critiquable dans son résultat et doit donc être confirmée. Il en résulte un revenu sans invalidité de 64'518 fr. 80, selon les indications fournies par l’employeur de l'assuré, qui, comparé au revenu avec invalidité de 51'532 fr. 42 (et non de 53'016 fr. 78 tel que figurant dans la décision litigieuse) établi sur la base des données salariales de l’Office fédéral de la statistique avec un abattement de 10% en l'occurrence non critiqué et justifié, correspond à un taux d’invalidité global de 20,13%, arrondi à 20% (ATF 130 V 121), qui se calcule comme suit : (64'518 fr. 80 – 51'532 fr. 42) x 100 64'518 fr. 80 Ce taux, inférieur à 40%, est insuffisant pour ouvrir le droit à une rente d’invalidité (cf. art. 28 al. 1 LAI).</w:t>
      </w:r>
    </w:p>
    <w:p>
      <w:r>
        <w:rPr>
          <w:b/>
        </w:rPr>
        <w:t>E. 5</w:t>
      </w:r>
    </w:p>
    <w:p>
      <w:r>
        <w:t>En définitive, circonscrit à l'octroi d'une rente, le recours se révèle mal fondé et doit donc être rejeté, ce qui entraîne la confirmation de la décision entreprise. Compte tenu de l'ampleur de la procédure,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