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1034 vom 1. Juli 2010</w:t>
      </w:r>
    </w:p>
    <w:p>
      <w:r>
        <w:t>VD Tribunal cantonal, 2010-07-01, FR</w:t>
      </w:r>
    </w:p>
    <w:p>
      <w:r>
        <w:rPr>
          <w:b/>
        </w:rPr>
        <w:t xml:space="preserve">Quelle: </w:t>
      </w:r>
      <w:r>
        <w:t>https://mcp.opencaselaw.ch/entscheid/vd_findinfo_Arr_t___2010___1034</w:t>
      </w:r>
    </w:p>
    <w:p>
      <w:r>
        <w:t>FR: VD_FINDINFO Arrêt / 2010 / 1034 du 1 juillet 2010</w:t>
      </w:r>
    </w:p>
    <w:p>
      <w:r>
        <w:t>IT: VD_FINDINFO Arrêt / 2010 / 1034 del 1 luglio 2010</w:t>
      </w:r>
    </w:p>
    <w:p>
      <w:pPr>
        <w:pStyle w:val="Heading2"/>
      </w:pPr>
      <w:r>
        <w:t>Regeste</w:t>
      </w:r>
    </w:p>
    <w:p>
      <w:r>
        <w:t>OBLIGATION D'ENTRETIEN, TRANSACTION{ACCORD}, REJET DE LA DEMANDE, SUBROGATION LÉGALE | 134 al. 3 CC, 276 al. 2 CC, 287 al. 1 CC, 315b al. 2 CC, 420 al. 2 CC, 489 CPC</w:t>
      </w:r>
    </w:p>
    <w:p>
      <w:pPr>
        <w:pStyle w:val="Heading2"/>
      </w:pPr>
      <w:r>
        <w:t>Erwägungen</w:t>
      </w:r>
    </w:p>
    <w:p>
      <w:r>
        <w:rPr>
          <w:b/>
        </w:rPr>
        <w:t>E. 1</w:t>
      </w:r>
    </w:p>
    <w:p>
      <w:r>
        <w:t>Le recours est dirigé contre une décision de l'autorité tutélaire refusant d'approu­ver une convention en modification de jugement de divorce concernant la contribu­tion d'entretien du père à l'égard de ses enfants (art. 134 al. 3 et 276 al. 2 CC, Code civil suisse du 10 décembre 1907, RS 210). Conformément à l'art. 420 al. 2 CC, un recours peut être adressé à l'autorité de surveillance, soit la Chambre des tutelles (art. 76 al. 2 LOJV, Loi d'organisation judiciaire du 12 décembre 1979, RSV 173.01), contre les décisions de l'autorité tutélaire dans les dix jours à partir de leur communication. La voie du recours général de l'art. 420 al. 2 CC est notamment ouverte contre la décision de l'autorité tutélaire approuvant une convention d'entretien au sens de l'art. 287 al. 1 CC (Hegnauer, Berner Kommentar, n. 64 ad art. 287-288 CC). Ouvert au pupille ca­pa­ble de discernement, ainsi qu'à tout intéressé (art. 420 al. 1 CC), ce recours relève de la procédure non contentieuse et s'instruit selon les art. 489 ss CPC (Code de procédure civile du 14 décembre 1966, RSV 270.11; art. 109 al. 3 LVCC, Loi d'introduction dans le canton de Vaud du Code civil suisse du 30 novembre 1910, RSV 211.01). La Chambre des tutelles peut réformer la décision attaquée ou en prononcer la nullité (art. 498 al. 1 CPC). Si la cause n'est pas suffisamment instruite, la Chambre des tutelles peut la renvoyer à l'autorité tutélaire ou procéder elle-même à l'instruction complémentaire (art. 498 al. 2 CPC). Le recours étant pleinement dévolutif, elle revoit librement la cause en fait et en droit (JT 2003 III 35). Interjeté en temps utile par le père des enfants concernés à qui la qualité d'intéressé doit être reconnue, le recours est recevable à la forme. Il en va de même des écritures et des pièces produites en deuxième instance (art. 496 al. 2 CPC).</w:t>
      </w:r>
    </w:p>
    <w:p>
      <w:r>
        <w:rPr>
          <w:b/>
        </w:rPr>
        <w:t>E. 2</w:t>
      </w:r>
    </w:p>
    <w:p>
      <w:r>
        <w:t>La Chambre des tutelles examine d'office si la déci­sion entreprise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ème éd., Lausanne 2002, nn. 3 et 4 ad art. 492 CPC, p. 763). En l'espèce, la Justice de paix du district de la Broye-Vully, en sa qualité d'autorité tutélaire du domicile de la mère et des enfants, était compétente à raison du lieu pour rendre la décision querellée (art. 315 CC par analogie). La justice de paix était éga­le­ment compétente à raison de la matière, les autorités tutélaires étant seules compé­ten­tes lorsque la demande de modification du jugement de divorce ne porte que sur l'attribution de l'autorité parentale et/ou de la contribution d'entretien qui repose sur un accord soumis à ratification (art. 134 al. 3 et 315b al. 2 CC; Meier/Stettler, Le droit de la filiation, 4 ème éd., 2009, n. 1204, pp. 690-691; Micheli et alii, Le nouveau droit du divorce, Lausanne 1999, n. 350 p. 74).</w:t>
      </w:r>
    </w:p>
    <w:p>
      <w:r>
        <w:rPr>
          <w:b/>
        </w:rPr>
        <w:t>E. 3</w:t>
      </w:r>
    </w:p>
    <w:p>
      <w:r>
        <w:t>Le parent qui n'est pas détenteur de l'autorité parentale et de la garde de l'enfant mineur doit une prestation pécuniaire destinée à l'entretien de ce dernier (art. 276 al. 2 CC). Le créancier de l'entretien est l'enfant mineur au sens de l'art. 14 CC. La quotité de cette prestation peut être fixée par une convention conclue entre le débirentier et l'enfant, représenté par le détenteur de l'autorité parentale s'il est incapable de discernement. Cependant, cette convention n'oblige l'enfant qu'après avoir été approu­vée par l'autorité tutélaire (art. 287 al. 1 CC). L'approbation doit être prononcée si la convention répond aux conditions de l'art. 285 al. 1 CC, respectivement 286 CC, notam­ment si la contribution d'entretien est adaptée aux ressources du débiteur et si son montant respecte les besoins de l'enfant. Cette procédure ayant pour but de s'assurer de la sauvegarder les intérêts de l'enfant, l'autorité tutélaire doit examiner si ceux-ci sont préservés avant de donner son approbation (Hegnauer, op. cit., n. 55 ad art. 287-288 CC). Cette dernière doit être refusée lorsque des contributions manifes­tement trop élevées ou trop basses ont été convenues. Dans ce cas, l'auto­rité tuté­laire ne peut fixer elle-même la contri­bu­tion d'entretien; il appartient alors au deman­deur de faire valoir sa prétention d'entretien par une action judiciaire devant le président du tribunal d'arrondissement compétent (art. 286 al. 2 CC, art. 4 ch. 16 LVCC; Hegnauer, Droit suisse de la filiation et de la famille, 4 ème éd., adaptée en langue française par Meier, nn. 21.20 ss, pp. 142 ss). En l'espèce, la convention litigieuse a été passée postérieurement à un jugement de divorce ratifiant une convention fixant la pension due par le père en faveur des enfants. En pareil cas, l'autorité tutélaire a la compétence d'approuver une telle modification (art. 134 al. 3 et 287 al. 2 CC; Meier/Stettler, op. cit., n. 1016, p. 592). a) La convention libère le recourant du paiement d'une contribution d'entretien en faveur de ses enfants tant qu'il n'aura pas retrouvé la capacité contri­butive nécessaire et prévoit que les arriérés de contribution d'entretien encore dus par A.J.________ à P.________ sont abandonnés. Une telle libération a pour conséquence que B.J.________ et C.J.________ abandonnent leur créance d'entretien envers leur père. La suppression de toute contribution d'entretien du père compromet manifestement les intérêts des enfants qui ne seraient ainsi plus assurés de recevoir leur entretien jus­qu'à leur majorité ou leur autonomie économique et qui pourraient être contraints d'ouvrir action à l'encontre de leur père. Les besoins des enfants étant à l'évidence compro­mis, c'est à bon droit que les premiers juges ont refusé d'approuver la con­ven­tion litigieuse. b) La convention prévoit la remise d'une dette de 15'117 fr. 45 du recourant envers l'Etat de Vaud, cessionnaire de la créance de la mère des enfants en paiement des contributions d'entretien dues à ceux-ci. Aux termes de l'art. 276 al. 1 CC, les père et mère doivent pourvoir à l'entretien de leur enfant et assumer, par conséquent, les frais de son éducation, de sa formation et des mesures prises pour le protéger. La prétention à la contribution d'entretien passe, avec tous les droits qui lui sont rattachés, à la collectivité publique lorsque celle-ci assure l'entretien de l'enfant (art. 289 al. 2 CC). La jurisprudence a précisé que l'art. 289 al. 2 CC, auquel renvoie l'art. 55 LProMin (Loi du</w:t>
      </w:r>
    </w:p>
    <w:p>
      <w:r>
        <w:rPr>
          <w:b/>
        </w:rPr>
        <w:t>E. 4</w:t>
      </w:r>
    </w:p>
    <w:p>
      <w:r>
        <w:t>En définitive, le recours interjeté par A.J.________ doit être rejeté et la décision entreprise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1er juillet 2010 Le dispositif de l'arrêt qui précède est communiqué par écrit aux intéressés. La greffière : Du L'arrêt qui précède, dont la rédaction a été approuvée à huis clos, est notifié à : ‑ Me Lei Ravello (pour A.J.________), ‑ Mme P.________, - Service de protection de la jeunesse,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