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952 vom 21. Oktober 2009</w:t>
      </w:r>
    </w:p>
    <w:p>
      <w:r>
        <w:t>VD Tribunal cantonal, 2009-10-21, FR</w:t>
      </w:r>
    </w:p>
    <w:p>
      <w:r>
        <w:rPr>
          <w:b/>
        </w:rPr>
        <w:t xml:space="preserve">Quelle: </w:t>
      </w:r>
      <w:r>
        <w:t>https://mcp.opencaselaw.ch/entscheid/vd_findinfo_Arr_t___2009___952</w:t>
      </w:r>
    </w:p>
    <w:p>
      <w:r>
        <w:t>FR: VD_FINDINFO Arrêt / 2009 / 952 du 21 octobre 2009</w:t>
      </w:r>
    </w:p>
    <w:p>
      <w:r>
        <w:t>IT: VD_FINDINFO Arrêt / 2009 / 952 del 21 ottobre 2009</w:t>
      </w:r>
    </w:p>
    <w:p>
      <w:pPr>
        <w:pStyle w:val="Heading2"/>
      </w:pPr>
      <w:r>
        <w:t>Regeste</w:t>
      </w:r>
    </w:p>
    <w:p>
      <w:r>
        <w:t>ORDONNANCE DE CONDAMNATION, NON-LIEU, OPPOSITION{PROCÉDURE}, MOYEN DE DROIT CANTONAL | 270 al. 1 CPP, 271 CPP, 272 CPP</w:t>
      </w:r>
    </w:p>
    <w:p>
      <w:pPr>
        <w:pStyle w:val="Heading2"/>
      </w:pPr>
      <w:r>
        <w:t>Erwägungen</w:t>
      </w:r>
    </w:p>
    <w:p>
      <w:r>
        <w:rPr>
          <w:b/>
        </w:rPr>
        <w:t>E. 1</w:t>
      </w:r>
    </w:p>
    <w:p>
      <w:r>
        <w:t>Celui qui se sera livré sur une personne à des voies de fait qui n'auront causé ni lésion corporelle ni atteinte à la santé sera, sur plainte, puni d'une amende.</w:t>
      </w:r>
    </w:p>
    <w:p>
      <w:r>
        <w:rPr>
          <w:b/>
        </w:rPr>
        <w:t>E. 2</w:t>
      </w:r>
    </w:p>
    <w:p>
      <w:r>
        <w:t>La poursuite aura lieu d'office: a. si l'auteur est le conjoint de la victime et que la menace a été commise durant le mariage ou dans l'année qui a suivi le divorce; En raison des faits mentionnés dans l'ordonnance (ch. 1 et 2). III. Confirme la partie libératoire de l'ordonnance entreprise. IV. Dit que le recours de B.J.________ est sans objet. V. Dit que les frais du présent arrêt, par 550 fr. (cinq cent cinquante francs) suivent le sort de la cause. VI. Déclare l'arrêt exécutoire. Le président : La greffi ère : Du L'arrêt qui précède, dont la rédaction a été approuvée à huis clos, est notifié aux parties , ainsi qu'au Ministère public, par l'envoi d'une copie complète : -      M. Matthieu Genillod, avocat (pour B.J.________), -      M. Jean-Pierre Wavre, avocat (pour A.J.________).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