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921 vom 4. Januar 2010</w:t>
      </w:r>
    </w:p>
    <w:p>
      <w:r>
        <w:t>VD Tribunal cantonal, 2010-01-04, FR</w:t>
      </w:r>
    </w:p>
    <w:p>
      <w:r>
        <w:rPr>
          <w:b/>
        </w:rPr>
        <w:t xml:space="preserve">Quelle: </w:t>
      </w:r>
      <w:r>
        <w:t>https://mcp.opencaselaw.ch/entscheid/vd_findinfo_Arr_t___2009___921</w:t>
      </w:r>
    </w:p>
    <w:p>
      <w:r>
        <w:t>FR: VD_FINDINFO Arrêt / 2009 / 921 du 4 janvier 2010</w:t>
      </w:r>
    </w:p>
    <w:p>
      <w:r>
        <w:t>IT: VD_FINDINFO Arrêt / 2009 / 921 del 4 gennaio 2010</w:t>
      </w:r>
    </w:p>
    <w:p>
      <w:pPr>
        <w:pStyle w:val="Heading2"/>
      </w:pPr>
      <w:r>
        <w:t>Regeste</w:t>
      </w:r>
    </w:p>
    <w:p>
      <w:r>
        <w:t>ÉVALUATION DE L'INCAPACITÉ DE TRAVAIL, LOI FÉDÉRALE SUR L'ASSURANCE-INVALIDITÉ, RENTE D'INVALIDITÉ, ÉVALUATION DE L'INVALIDITÉ, MÉTHODE MIXTE D'ÉVALUATION, FORCE PROBANTE, COMPARAISON DES REVENUS, MESURE DE RÉADAPTATION{ASSURANCE SOCIALE} | 28 al. 1 let. b LAI, 28 al. 2 LAI, 16 LPGA, 6 LPGA, 7 LPGA, 8 al. 1 LPGA, 27 RAI, 27bis RAI</w:t>
      </w:r>
    </w:p>
    <w:p>
      <w:pPr>
        <w:pStyle w:val="Heading2"/>
      </w:pPr>
      <w:r>
        <w:t>Erwägungen</w:t>
      </w:r>
    </w:p>
    <w:p>
      <w:r>
        <w:rPr>
          <w:b/>
        </w:rPr>
        <w:t>E. 1</w:t>
      </w:r>
    </w:p>
    <w:p>
      <w:r>
        <w:t>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(art. 60 al. 1 LPGA [loi fédérale du</w:t>
      </w:r>
    </w:p>
    <w:p>
      <w:r>
        <w:rPr>
          <w:b/>
        </w:rPr>
        <w:t>E. 6</w:t>
      </w:r>
    </w:p>
    <w:p>
      <w:r>
        <w:t>En définitive, le recours se révèle mal fondé et doit donc être rejeté, ce qui entraîne le maintien de la décision entreprise.</w:t>
      </w:r>
    </w:p>
    <w:p>
      <w:r>
        <w:rPr>
          <w:b/>
        </w:rPr>
        <w:t>E. 7</w:t>
      </w:r>
    </w:p>
    <w:p>
      <w:r>
        <w:t>Compte tenu de l'ampleur de la procédure, les frais de justice sont arrêtés à 250 fr. et mis à la charge de la recourante, qui succombe (art. 69 al. 1bis LAI ; cf. aussi art. 49 al. 1 LPA-VD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