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2009 / 588 vom 16. Juli 2009</w:t>
      </w:r>
    </w:p>
    <w:p>
      <w:r>
        <w:t>VD Tribunal cantonal, 2009-07-16, FR</w:t>
      </w:r>
    </w:p>
    <w:p>
      <w:r>
        <w:rPr>
          <w:b/>
        </w:rPr>
        <w:t xml:space="preserve">Quelle: </w:t>
      </w:r>
      <w:r>
        <w:t>https://mcp.opencaselaw.ch/entscheid/vd_findinfo_Arr_t___2009___588</w:t>
      </w:r>
    </w:p>
    <w:p>
      <w:r>
        <w:t>FR: VD_FINDINFO Arrêt / 2009 / 588 du 16 juillet 2009</w:t>
      </w:r>
    </w:p>
    <w:p>
      <w:r>
        <w:t>IT: VD_FINDINFO Arrêt / 2009 / 588 del 16 luglio 2009</w:t>
      </w:r>
    </w:p>
    <w:p>
      <w:pPr>
        <w:pStyle w:val="Heading2"/>
      </w:pPr>
      <w:r>
        <w:t>Regeste</w:t>
      </w:r>
    </w:p>
    <w:p>
      <w:r>
        <w:t>RÉVISION{DÉCISION}, AI{ASSURANCE} | 87 al. 3 RAI, 87 al. 4 RAI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s'ensuit que le recours, mal fondé, doit être rejeté, ce qui entraîne la confirmation de la décision attaquée.</w:t>
      </w:r>
    </w:p>
    <w:p>
      <w:r>
        <w:rPr>
          <w:b/>
        </w:rPr>
        <w:t>E. 5</w:t>
      </w:r>
    </w:p>
    <w:p>
      <w:r>
        <w:t>Compte tenu de l'ampleur de la procédure, les frais de justice sont arrêtés à 500 fr. et mis à la charge du recourant, qui succombe (art. 69 al. 1bis LAI [loi fédérale du 19 juin 1959 sur l'assurance-invalidité, RS 831.20] ; cf. aussi art. 49 al. 1 LPA-VD et art. 2 al. 1 TFJAS [tarif des frais judiciaires et des dépens en matière de droit des assurances sociales, RSV 173.36.5.2]). Il n'y a pas lieu d'allouer de dépens (art.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