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2009 / 479 vom 11. Mai 2009</w:t>
      </w:r>
    </w:p>
    <w:p>
      <w:r>
        <w:t>VD Tribunal cantonal, 2009-05-11, FR</w:t>
      </w:r>
    </w:p>
    <w:p>
      <w:r>
        <w:rPr>
          <w:b/>
        </w:rPr>
        <w:t xml:space="preserve">Quelle: </w:t>
      </w:r>
      <w:r>
        <w:t>https://mcp.opencaselaw.ch/entscheid/vd_findinfo_Arr_t___2009___479</w:t>
      </w:r>
    </w:p>
    <w:p>
      <w:r>
        <w:t>FR: VD_FINDINFO Arrêt / 2009 / 479 du 11 mai 2009</w:t>
      </w:r>
    </w:p>
    <w:p>
      <w:r>
        <w:t>IT: VD_FINDINFO Arrêt / 2009 / 479 del 11 maggio 2009</w:t>
      </w:r>
    </w:p>
    <w:p>
      <w:pPr>
        <w:pStyle w:val="Heading2"/>
      </w:pPr>
      <w:r>
        <w:t>Regeste</w:t>
      </w:r>
    </w:p>
    <w:p>
      <w:r>
        <w:t>TUTELLE, REQUÊTE DE MAINLEVÉE | 372 CC, 420 CC, 438 CC</w:t>
      </w:r>
    </w:p>
    <w:p>
      <w:pPr>
        <w:pStyle w:val="Heading2"/>
      </w:pPr>
      <w:r>
        <w:t>Erwägungen</w:t>
      </w:r>
    </w:p>
    <w:p>
      <w:r>
        <w:rPr>
          <w:b/>
        </w:rPr>
        <w:t>E. 1</w:t>
      </w:r>
    </w:p>
    <w:p>
      <w:r>
        <w:t>Le recours est dirigé contre une décision de la justice de paix refusant la mainlevée d'une tutelle volontaire. a) Une telle décision est susceptible de recours à l'autorité de surveillance, soit la Chambre des tutelles (Zurbuchen, La procédure d'interdiction, thèse, Lausanne 1991, p. 156; art. 76 al. 2 LOJV [Loi d'organisation judiciaire du 12 décembre 1979 , RSV 173.01]). Le recours relève de la procédure non contentieuse et s'instruit conformément aux art. 489 ss CPC (Code de procédure civile du 14 décembre 1966, RSV 270.11 ; cf. art. 109 al. 3 LVCC [Loi d'introduction dans le canton de Vaud du Code civil suisse, RSV 211.01]; Poudret/Haldy/Tappy, Procédure civile vaudoise, Lausanne 2002, n. ad art. 382 CPC, p. 593). Ouvert au pupille capable de discernement ainsi qu'à tout intéressé (art. 420 al. 1 CC [Code civil suisse du 10 décembre 1907, RS 210 ), il s'exerce par acte écrit dans le délai de dix jours dès la communication de la décision attaquée (art. 492 al. 1 et 2 CPC). La Chambre des tutelles peut réformer la décision attaquée ou en prononcer la nullité (art. 498 al. 1 CPC). Si la cause n'est pas suffisamment instruite, elle peut la renvoyer à l'autorité tutélaire ou procéder elle-même à l'instruction complémentaire (art. 498 al. 2 CPC). Le recours étant pleinement dévolutif, elle revoit librement la cause en fait et en droit (JT 2003 III 35; JT 2001 III 122). b) En l'espèce, interjeté en temps utile par le pupille, le recours est recevable. Les déterminations de la Tutrice générale sont également recevables (art. 496 al. 2 CPC).</w:t>
      </w:r>
    </w:p>
    <w:p>
      <w:r>
        <w:rPr>
          <w:b/>
        </w:rPr>
        <w:t>E. 2</w:t>
      </w:r>
    </w:p>
    <w:p>
      <w:r>
        <w:t>a) Saisie d'un recours non contentieux, la Chambre des tutelles, qui n'est pas tenue par les moyens et les conclusions des parties, examine d'office si la décision entreprise n'est pas affectée de vices d'ordre formel. Elle peut même retenir des moyens de nullité non articulés par le recourant lorsqu'il s'agit de vices apparents qui affectent la décision attaquée. Elle examine en outre si l'une ou l'autre des critiques formulées est fondée et si elle doit entraîner la réforme de la décision, son annulation complète, ou encore le renvoi de la cause au premier juge pour complément d'instruction et nouveau jugement. Elle ne doit toutefois annuler une décision que s'il ne lui est pas possible de faire autrement, soit parce qu'elle est en présence d'une procédure informe, soit parce qu'elle constate la violation d'une règle essentielle de la procédure à laquelle elle ne peut elle-même remédier et qui est de nature à exercer une influence sur la solution de l'affaire (Poudret/Haldy/Tappy, op. cit., n. 4 ad art. 492 CPC, p. 763). b) La procédure de mainlevée de l'interdiction est réglée par les cantons (art. 434 al. 1 CC). Le droit fédéral commande toutefois que l'interdit soit entendu (ATF 117 II 379, JT 1994 I 281). La justice de paix est compétente pour statuer sur les demandes de mainlevée d'interdiction volontaire (art. 3 al. 2 ch. 3 LVCC). La procédure de l'art. 91 LVCC est applicable, à l'exclusion de celle prévue par l'art. 397 CPC, qui ne concerne que les interdictions fondées sur les art. 369 et 370 CC (Zurbuchen, op. cit., p. 153). Selon l'art. 91 LVCC, la requête de mainlevée doit être adressée au juge de paix du domicile du requérant (al. 1 et 3); celle-ci statue après avoir entendu le requérant et, dans la mesure nécessaire, vérifié les faits allégués par lui (al. 2). L'inobservation du droit d'être entendu consacré par l'art. 91 al. 2 LVCC constitue la violation d'une règle essentielle de la procédure et entraîne la nullité de la décision (Zurbuchen, op. cit., p. 156; JT 1954 III 35). En l'espèce , la Justice de paix du district de Lausanne, autorité compétente en la matière (art. 3 al. 2 ch. 3 LVCC), a entendu E.________ le 18 décembre 2008, ainsi que Mona Wagner, assistante sociale auprès de l'office du Tuteur général. La décision entreprise est dès lors à l'abri de toute critique d'un point de vue formel et peut être examinée sur le fond.</w:t>
      </w:r>
    </w:p>
    <w:p>
      <w:r>
        <w:rPr>
          <w:b/>
        </w:rPr>
        <w:t>E. 3</w:t>
      </w:r>
    </w:p>
    <w:p>
      <w:r>
        <w:t>Le recourant requiert la mainlevée de son interdiction civile volontaire, faisant valoir qu'il est capable de gérer ses affaires. Les premiers juges ont estimé que le pupille n'était pas parvenu à démontrer que la cause ayant justifié l'instauration d'une tutelle en sa faveur n'existait plus. Il avait été hospitalisé à quatre reprises dans le courant de l'année 2008, la dernière fois pour une durée de plusieurs mois suite à une grave décompensation. Ainsi, même si le pupille pouvait se révéler apte à gérer une partie de ses affaires lorsqu'il était à domicile, il perdait manifestement ces capacités lorsqu'il se retrouvait hospitalisé pour des raisons psychiatriques. a) L'interdiction volontaire ne peut être prononcée que si l'intéressé est empêché de gérer convenablement ses affaires par suite de faiblesse sénile, de quelque infirmité ou de son inexpérience (art. 372 CC). Selon la doctrine et la jurisprudence, la notion d'infirmité doit être interprétée de manière extensive: elle comprend les déficiences psychiques et caractérielles, telles que la déchéance physique et sociale, la fainéantise ou le mode de vie désordonné ou dissolu (Schnyder/Murer, Berner Kommentar, n. 63 ad art. 372 CC); ces troubles psychiques et caractériels peuvent cependant être moins graves que ceux retenus aux art. 369 et 370 CC concernant l'interdiction imposée (ATF 99 II 15, JT 1974 I 58; Schnyder/Murer, op. cit., n. 64 ad art. 372 CC). La mainlevée de l'interdiction volontaire ne peut être ordonnée que si la cause de la mise sous tutelle n'existe plus (art. 438 CC). Il ne suffit donc pas que l'interdit forme une requête de mainlevée pour que la suppression de la tutelle doive automatiquement s'opérer (Deschenaux/Steinauer, Personnes physiques et tutelle,</w:t>
      </w:r>
    </w:p>
    <w:p>
      <w:r>
        <w:rPr>
          <w:b/>
        </w:rPr>
        <w:t>E. 4</w:t>
      </w:r>
    </w:p>
    <w:p>
      <w:r>
        <w:t>En définitive, le recours doit être rejeté et la décision confirmée. Le présent arrêt peut être rendu sans frais (art. 236 al. 2 TFJC [Tarif du 4 décembre 1984 des frais judiciaires en matière civile, RSV 270.11.5]). Par ces motifs, la Chambre des tutelles du Tribunal cantonal, statuant à huis clos, prononce : I. Le recours est rejeté. II. La décision est confirmée. III. L'arrêt est rendu sans frais. IV. L'arrêt motivé est exécutoire. Le président : La greffière : Du 11 mai 2009 Le dispositif de l'arrêt qui précède est communiqué par écrit aux intéressés. La greffière : Du L'arrêt qui précède, dont la rédaction a été approuvée à huis clos, est notifié à : ‑      M. E.________, et communiqué à : ‑      Mme la Tutrice générale, - Justice de paix du district de Lausanne,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