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232 vom 17. März 2009</w:t>
      </w:r>
    </w:p>
    <w:p>
      <w:r>
        <w:t>VD Tribunal cantonal, 2009-03-17, FR</w:t>
      </w:r>
    </w:p>
    <w:p>
      <w:r>
        <w:rPr>
          <w:b/>
        </w:rPr>
        <w:t xml:space="preserve">Quelle: </w:t>
      </w:r>
      <w:r>
        <w:t>https://mcp.opencaselaw.ch/entscheid/vd_findinfo_Arr_t___2009___232</w:t>
      </w:r>
    </w:p>
    <w:p>
      <w:r>
        <w:t>FR: VD_FINDINFO Arrêt / 2009 / 232 du 17 mars 2009</w:t>
      </w:r>
    </w:p>
    <w:p>
      <w:r>
        <w:t>IT: VD_FINDINFO Arrêt / 2009 / 232 del 17 marzo 2009</w:t>
      </w:r>
    </w:p>
    <w:p>
      <w:pPr>
        <w:pStyle w:val="Heading2"/>
      </w:pPr>
      <w:r>
        <w:t>Regeste</w:t>
      </w:r>
    </w:p>
    <w:p>
      <w:r>
        <w:t>RÉVISION DE LA RENTE, TROUBLE SOMATOFORME DOULOUREUX, MODIFICATION{EN GÉNÉRAL}, ÉTAT DE SANTÉ, MESURE D'INSTRUCTION{ASSURANCE SOCIALE}, RÉSISTANCE | 28 LAI, 16 LPGA, 17 al. 1 LPGA, 61 let. c LPGA, 87 al. 1 RAI</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 différents rapports médicaux, seul leur contenu matériel permet de porter en définitive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une expertise présentée par une partie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ATF 125 V 351, consid. 3b, p. 352). De même, selon une jurisprudence constante,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experts qu'à celles d'un médecin traitant (ATF 125 V 351, consid. 3b/cc et les références; VSI 2001, p. 106, consid. 3b/bb et cc). Il convient cependant de relever qu'un rapport médical ne saurait être écarté pour la simple et unique raison qu'il émane du médecin traitant ou qu'il a été établi par un médecin se trouvant dans un rapport de subordination vis-à-vis d'un assureur (TF 9C_773/2007, précité, consid. 5.2). Au demeurant,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Kölz/Häner, Verwaltungsverfahren und Verwaltungsrechtspflege des Bundes, p. 47, n° 63; Gygi, Bundesverwaltungsrechts- pflege, 2 e éd., p. 274; Kummer, Grundriss des Zivilprozessrechts, 4 e éd., p. 135; Scartazzini, Les rapports de causalité dans le droit suisse de la sécurité sociale, thèse Genève 1991, p. 63; cf. aussi ATF 122 III 219 spéc. pp. 223-224; ATF 120 Ib 224 cons. 2b; ATF 119 II 114 cons. 4c; ATF 119 V 335 cons. 3c; TFA, du 6 mars 1997, U 207/96 ad TAss VD, AA 55/1996 du 29 février 1996).</w:t>
      </w:r>
    </w:p>
    <w:p>
      <w:r>
        <w:rPr>
          <w:b/>
        </w:rPr>
        <w:t>E. 3</w:t>
      </w:r>
    </w:p>
    <w:p>
      <w:r>
        <w:t>a)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RS 831.01]). Tout changement important des circonstances propres à influencer le degré d'invalidité, et donc le droit à la rente, peut motiver une révision selon les articles précités.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ne suffit pas qu'une situation, restée inchangée pour l'essentiel, soit appréciée d'une manière différente. En outre, une modification peu importante des données statistiques de caractère général ne peut mener à révision (ATF 133 V 545). L'assurance-invalidité connaissant un système de rentes échelonnées, la révision ne se justifie que lorsque le degré d'invalidité franchit un taux déterminant (Tass VD, AI 42/1995 du 9 février 1995). Le point de savoir si un changement important s'est produit doit être tranché en comparant les faits tels qu'il se présentaient au moment de la décision initiale de rente et les circonstances régnant à l'époque de la décision litigieuse (ATF 130 V 343 consid. 3.5.2 p. 351, 125 V 369 consid. 2 et la référence citée). b) La révision, au sens de l'art. 17 al. 1 LPGA, qui intervient en cas de modification notable du taux d'invalidité du bénéficiaire de la rente, doit être distinguée de la reconsidération, au sens de l'art. 53 al. 2 LPGA, qui permet à l'assureur de revenir sur les décisions ou les décisions sur opposition formellement passées en force lorsqu'elles sont manifestement erronées et que leur rectification revêt une importance notable. Or l'arrêt du Tribunal fédéraI cité par le recourant (TF, I_138/07 du 25 juin 2007), qui rappelait que pour juger s'il est admissible de reconsidérer une décision, il faut se fonder sur les faits et la situation juridique au moment où cette décision a été rendue, compte tenu de la pratique en vigueur à cette époque (ATF 125 V 383, consid. 3 p. 389 s., 119 V 475 consid. 1b/cc p. 479), ne concerne pas la révision, au sens de l'art. 17 LPGA, mais la reconsidération, au sens de l'art. 53 al. 2 LPGA. Il n'est donc pas topique en l'espèce, l'autorité intimée n'ayant pas procédé à la reconsidération de la décision de rente initiale sur la base d'une nouvelle jurisprudence plus restrictive sur l'admission du caractère invalidant de troubles somatoformes douloureux (ATF 130 V 352), laquelle est postérieure à la décision initiale, mais bien en raison d'une amélioration de l'état de santé du recourant.</w:t>
      </w:r>
    </w:p>
    <w:p>
      <w:r>
        <w:rPr>
          <w:b/>
        </w:rPr>
        <w:t>E. 4</w:t>
      </w:r>
    </w:p>
    <w:p>
      <w:r>
        <w:t>a) En l'espèce, certes , dans son avis médical du SMR du 26 avril 2005, le Dr T.________ a estimé qu'il est clair, vu d'aujourd'hui, que l'aspect psychiatrique aurait mérité une appréciation plus détaillée que ce qui est décrit dans l'expertise de 1996, et qu'actuellement ni le diagnostic de trouble somatoforme ni celui de trouble dépressif ne peut être retenu. Il a relevé qu'il est impossible, sur la base des documents du dossier et de l'examen actuel, de préciser une date d'amélioration de l'état de santé entre 1996 et maintenant, "ce d'autant plus que nous sommes face à une différence d'appréciation d'une situation semblable entre 1996 et maintenant". De même, l'expertise interdiscipliniaire de la Clinique G.________ du 1 er décembre 2006 retient qu'"au niveau psychiatrique, le syndrome douloureux somatoforme persistant ne peut pas être considéré comme invalidant, car il ne remplit pas les critères de gravité de la jurisprudence actuelle". Cette constatation a conduit le Dr J.________, dans son avis médical SMR du 31 janvier 2007, à indiquer que l'assuré présente toujours un trouble somatoforme douloureux, déjà mis en évidence par une expertise en 1996, mais qu'"actuellement, selon la jurisprudence actuelle une telle atteinte à la santé n'est plus considérée comme invalidante vu l'absence de trouble psychiatrique à caractère invalidant ou de signe de gravité". Toutefois, ce n'est pas en raison de la clarification, respectivement du durcissement de la jurisprudence relative à la reconnaissance du caractère invalidant des troubles somatoformes douloureux que l'autorité intimée a retenu qu'il y avait lieu à révision (et non à reconsidération), mais bien en raison de l'amélioration de l'état de santé psychique du recourant depuis la décision initiale d'octroi de rente, en l'absence par ailleurs d'aggravation de l'état de santé physique, le status ostéoarticulaire restant globalement inchangé depuis 1996. L'expertise du COMAI du 28 novembre 1996 retenait en effet une incapacité de travail totale dans une activité de manutentionnaire telle qu'exercée par l'assuré avant l'atteinte à la santé et précisait que cette incapacité était la résultante, d'une part, des limitations sur le plan physique et, d'autre part, de l'atteinte psychique, l'assuré "présent[ant] actuelle­ment un état dépressif grave, qui empêche actuellement une reprise du travail". Or, il résulte de l'expertise interdisciplinaire du Centre G.________ du 1 er décembre 2006 que l'état de santé du recourant s'est sensiblement amélioré sur le plan psychique, puisque, si les experts confirment l'existence d'un syndrome douloureux somatoforme persistant, ils n'ont pu constater aucune comorbidité psychiatrique, ne relevant en particulier pas de trouble de l'humeur, ni de manifestation anxieuse ou psychotique. L'état de santé psychique du recourant a été soigneusement investigué par l'expert psychiatre et a fait l'objet d'un consilium de psychiatrie du 18 mai 2006 joint au rapport d'expertise du 1 er décembre 2006. Ce consilium contient une anamnèse détaillée, prend en considération les plaintes subjectives de l'assuré et explique de manière motivée et convaincante la conclusion qu'il n'existe aucun argument en faveur de l'un des trois critères majeurs de la dépression selon l'OMS et l'expérience de l'expert, lequel précise que sur l'échelle de Hamilton quantifiant les symptômes de la dépression le jour précédant l'examen, le HAMD-17, le score est de 2 (pas de dépression) (p. 7). Il retient que le recourant présente un syndrome douloureux somatoforme persistant depuis une dizaine d'années, lequel ne remplit pas les critères de gravité de la jurisprudence actuelle pour être qualifié d'invalidant (p. 9-10). Cette dernière remarque ne signifie nullement qu'en 1996, le trouble somatoforme persistant déjà diagnostiqué ait été considéré comme invalidant selon les critères en vigueur à l'époque indépendamment de l'état dépressif grave que présentait alors l'assuré. Il apparaît au contraire que cet état dépressif grave était un élément central de la reconnaissance de l'incapacité de travail du recourant. Or, à cet égard, l'état de santé psychique du recourant s'est sensiblement amélioré, puisque selon les constatations de l'expertise G.________, qui doivent se voir reconnaître pleine valeur probante au sens de la jurisprudence, le recourant ne présente plus de trouble dépressif. b) La constatation de l'amélioration de l'état de santé psychique du recourant par les experts indépendants mandatés par l'OAI rejoint celle qu'avait déjà faite le Dr T.________ du SMR dans son rapport d'examen clinique du 26 avril 2006, dans lequel il concluait qu'actuellement ni le diagnostic de trouble somatoforme ni celui de trouble dépressif ne pouvait être retenu. C'est toutefois bien l'avis de l'expert psychiatre, le Dr R.________, exprimé dans le rapport de la Clinique G.________ et non celui du Dr T.________ - qui n'est pas psychiatre et avait préconisé une expertise indépendante en raison des divergences entre ses propres constatations et celles de la Dresse V.________, qui n'est pas non plus psychiatre, dans son rapport médical du 31 août 2005 - qui est déterminant et doit conduire à retenir une amélioration de l'état de santé psychique du recourant. c) Quant au rapport médical du 31 août 2005 de la Dresse V.________, il n'est pas de nature à mettre en doute les conclusions dûment motivées de l'expertise interdisciplinaire du Centre G.________. Ce rapport retient certes notamment le diagnostic de trouble somatoforme douloureux persistant et d'état dépressif chronique, en relevant que le patient présente tous les symptômes de la ligne dépressive (tristesse, fatigue, apathie, inappétence); cette constatation émane toutefois d'une praticienne qui n'est pas psychiatre et elle est motivée uniquement par une référence à une consultation psychiatrique du 24 août 2005, laquelle aurait mis en évidence la persistance d'un trouble somatoforme douloureux et d'un état dépressif d'intensité moyenne à sévère avec un score MADRS de 24/60. Or, d'une part il n'y a aucune motivation quant aux résultats de cet examen clinique, mais encore celui-ci est antérieur de neuf mois à l'examen par les experts du Centre G.________, qui ont rendu leurs conclusions sur la base d'un dossier complet et dont l'examen représente la situation la plus actuelle de l'état de santé du recourant. A cet égard, le recourant fait valoir dans sa réplique que près de deux ans s'étant écoulés entre l'expertise G.________ et la décision attaquée, il y aurait lieu d'ordonner une nouvelle expertise judiciaire pour évaluer son état de santé physique et psychique sur la base d'éléments actuels et non obsolètes. Toutefois, il ne fait état d'aucun élément qui permettrait de penser que son état de santé ait subi des modifications depuis l'expertise de la Clinique G.________. Dans ces conditions, sa requête d'expertise doit être rejetée .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cf. aussi ATF 122 II 469, consid. 4a; 122 III 223, consid. 3c; 120 Ib 229, consid. 2b; 119 V 344, consid. 3c et la référence). d) En définitive, la décision attaquée échappe à la critique dans la mesure où, faisant fond sur l'expertise pluridisciplinaire du 1 er décembre 2006 qui doit se voir reconnaître pleine valeur probante et dont le rapport de la Dresse V.________ du 31 août 2005 - dont les experts ont eu connaissance - n'est pas susceptible de remettre en doute les conclusions, elle retient que l'état de santé psychique du recourant s'est amélioré en ce sens qu'il n'y a désormais plus d'incapacité de travail pour raisons psychiatriques (le seul obstacle sur le plan psychiatrique réside dans un sentiment subjectif d'incapacité et de manque de motivation), mais que la capacité de travail de l'intéressé dans un emploi adapté à ses limitations fonctionnelles (soit dans une activité permettant d'exclure  les efforts physiques importants ainsi que les efforts prolongés et répétitifs pendant quelques heures même avec un port de charges légères,  le port de charges supérieures à 10 kg,  les positions statiques assises ou debout prolongées ainsi que les mouvements itératifs en torsion ou en antéflexion-rétroflexion du tronc) est de 100% avec un rendement de 80% pour raisons somatiques.</w:t>
      </w:r>
    </w:p>
    <w:p>
      <w:r>
        <w:rPr>
          <w:b/>
        </w:rPr>
        <w:t>E. 5</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S'agissant du gain d'invalide, lorsque l'assuré n'a pas - comme en l'espèce - repris d'activité professionnelle, il y a lieu de se référer aux données statistiques, telles qu'elles résultent des Enquêtes sur la structure des salaires de l'Office fédéral de la statistique (ci-après : ESS; ATF 126 V 76 consid. 3b/aa et bb; 134 V 322 consid. 5.2). On se réfère alors à la statistique des salaires bruts standardisés, en se fondant toujours sur la valeur médiane ou valeur centrale (ATF 124 V 323 consid. 3b/bb; VSI 1999 p. 182). En l'occurrence, le salaire de référence est celui auquel pouvaient prétendre les hommes effectuant des activités simples et répétitives dans le secteur privé (production et services), soit en 2004 4'588 fr. par mois (ESS, TA1, niveau de qualification 4). L'autorité intimée a, conformément à la jurisprudence, adapté ce salaire compte tenu du fait que les salaires bruts standardisés se basent sur un horaire de travail de quarante heures, soit une durée hebdomadaire inférieure à la moyenne usuelle dans les entreprises en 2004 (41,6 heures; La Vie économique 10-2006, tableau B 9.2), aboutissant à un revenu d'invalide de 57'258 fr. 24 en 2004. Après adaptation à l'évolution des salaires intervenue de 2004 à 2005 (+1 %; La Vie économique 10-2006, tableau b 9.2), l'autorité intimée a retenu un revenu hypothétique annuel de 57'830 fr. 82, soit de 46'264 fr. 66 par année pour une activité légère de substitution exercée à 80%. Sur ce montant, elle a encore retenu un abattement de 15% pour tenir compte des limitations fonctionnelles de l'assuré (ATF 126 V 75), aboutissant en fin de compte à un revenu annuel d'invalide de 39'324 fr. 96 qui, comparé au revenu sans invalidité (57'830 fr.), conduisait à un taux d'invalidité de 31.99%, inférieur au seuil de 40% ouvrant le droit à un quart de rente selon l'art. 28 LAI. c) Le recourant invoque l'impossibilité pratique de reprendre une activité professionnelle. Il fait valoir que son âge, le fait qu'il n'a plus travaillé depuis 14 ans et les nombreuses limitations fonctionnelles relevées par les rapports d'expertise auraient pour conséquence qu'il n'existerait pas sur le marché du travail suffisamment de postes adaptés aux limitations fonctionnelles qu'il présente et lui permettant de mettre en œuvre son éventuelle capacité résiduelle de travail dans une mesure significative (cf. réplique, p. 2-3). Selon la jurisprudence du Tribunal fédéral, lors de l'examen de la mise en valeur de la capacité de travail résiduelle,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 9C_279/2008 du 16 décembre 2008, consid. 3.3; TFA I 198/97 du 7 juillet 1998, consid. 3b et les références, in VSI 1998 p. 293). On ne saurait toutefois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9C_313/2007 du 8 janvier 2008, consid. 5.2; cf. RCC 1991 p. 329 consid. 3b, 1989 p. 328 consid. 4a). Par ailleurs, la notion de marché du travail équilibré ne comprend pas seulement un certain équilibre entre l'offre et la demande de postes, mais aussi un marché du travail qui présente un éventail des activités les plus diverses, en ce qui concerne aussi bien les exigences professionnelles et intellectuelles requises que l'engagement physique (ATF 110 V 276 consid. 4b p. 276 et les références). A la lumière de ces considérations, il y a lieu de déterminer dans chaque cas de manière individuelle si l'assuré est encore en mesure d'exploiter une capacité de travail résiduelle sur le plan économique et de réaliser un salaire suffisant pour exclure une rente . Ni sous l'angle de l' obligation de diminuer le dommage ,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9C_279/2008 du 16 décembre 2008, consid. 3.4; TF 9C_313/2007 du 8 janvier 2008 consid. 5.2 in fine et la référence). En l'espèce, les limitations fonctionnelles du recourant ne sont pas telles que l'activité légère exigible de la part du recourant en vertu de son obligation de diminuer le dommage ne pourrait être exercée que sous une forme tellement restreinte qu'elle n'existe pratiquement pas sur le marché général du travail ou que son exercice supposerait de la part de l'employeur des concessions irréalistes et que, de ce fait, il semble exclu de trouver un emploi correspondant. Il convient au contraire d'admettre que le marché du travail offre un éventail suffisamment large d'activités légères, dont on doit convenir qu'un nombre significatif sont adaptées aux limitations du recourant et accessibles sans aucune formation particulière. Au surplus, on ajoutera que l'assurance-invalidité n'a pas à répondre des difficultés du recourant pour trouver un emploi approprié liées à son âge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TF I_1082/06 du 24 septembre 2007, consid. 2.2; TFA I 377/98 du 28 juillet 1999, consid. 1 et les références, publié in VSI 1999 p. 246). d) Enfin, le recourant estime que l'abattement opéré par l'OAI sur le revenu d'invalide est insuffisant et qu'il aurait dû être procédé à l'abattement maximal de 25% autorisé par la jurisprudence (cf. réplique, p. 4).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 nationalité/catégorie d'autorisation de séjour et taux d'occupation); une déduction globale maximum de 25% sur le salaire statistique permet de tenir compte des différents éléments qui peuvent ainsi influencer le revenu d'une activité lucrative (ATF 126 V 75 consid. 5b/aa-cc; VSI 2002 p. 70 s. consid. 4b). Cet abattement résulte de l'exercice par l'administration de son pouvoir d'appréciation, et le juge des assurances sociales ne peut, sans motif pertinent, substituer sa propre appréciation à celle de l'administration (ATF 132 V 393 consid. 3.3; 126 V 75 consid. 6). En l'espèce, l'autorité intimée a exposé avoir retenu un abattement de 15% sur le revenu d'invalide pour tenir compte des limitations fonctionnelles du recourant et de son âge; elle a relevé que le recourant, au bénéfice d'un permis C et d'une expérience professionnelle depuis 1982 en Suisse, ne présentait aucune limitation liée aux années de service, à la catégorie d'autorisation de séjour et au taux d'occupation, si bien que l'abattement maximal de 25% ne saurait être justifié. Ce faisant, l'OAI n'a pas abusé de son pouvoir d'appréciation et il n'appartient pas à la cour de céans d'intervenir en substituant à l'appréciation de l'autorité intimée sa propre appréciation, qui n'aurait d'ailleurs pas lieu d'être différente.</w:t>
      </w:r>
    </w:p>
    <w:p>
      <w:r>
        <w:rPr>
          <w:b/>
        </w:rPr>
        <w:t>E. 6</w:t>
      </w:r>
    </w:p>
    <w:p>
      <w:r>
        <w:t>a) Il résulte de ce qui précède que, par rapport à la situation prévalant au moment de l'octroi de la rente entière d'invalidité, la capacité de gain du recourant s'est accrue ensuite de l'amélioration de son état de santé psychique, qui ne s'oppose plus à la reprise d'une activité adaptée à ses limitations fonctionnelles lui permettant de réaliser un revenu hypothétique inférieur de 32% à celui qu'il réaliserait sans invalidité. Or un taux d'invalidité inférieur à 40% n'ouvre pas le droit à une rente (art. 28 al. 2 LAI). Comme le changement déterminant a duré trois mois déjà, sans interruption notable et sans qu'une complication prochaine soit à craindre, l'OAI a à bon droit supprimé la rente avec effet au premier jour du deuxième mois suivant la notification de sa décision (art. 88a al. 1 et 88bis al. 2 let. a RAI). Le recours se révèle dès lors mal fondé et doit être rejeté.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applicable ratione temporis à la présente procédure puisque celle-ci a été introduite après le 1 er juillet 2006). En l'espèce, compte tenu de l'ampleur de la procédure, les frais de justice doivent être arrêtés à 500 fr. et être mis à la charge du recourant, qui succombe (art. 69 al. 1bis LAI). Il n'y a pas lieu d'allouer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