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121 vom 6. April 2009</w:t>
      </w:r>
    </w:p>
    <w:p>
      <w:r>
        <w:t>VD Tribunal cantonal, 2009-04-06, FR</w:t>
      </w:r>
    </w:p>
    <w:p>
      <w:r>
        <w:rPr>
          <w:b/>
        </w:rPr>
        <w:t xml:space="preserve">Quelle: </w:t>
      </w:r>
      <w:r>
        <w:t>https://mcp.opencaselaw.ch/entscheid/vd_findinfo_Arr_t___2009___121</w:t>
      </w:r>
    </w:p>
    <w:p>
      <w:r>
        <w:t>FR: VD_FINDINFO Arrêt / 2009 / 121 du 6 avril 2009</w:t>
      </w:r>
    </w:p>
    <w:p>
      <w:r>
        <w:t>IT: VD_FINDINFO Arrêt / 2009 / 121 del 6 aprile 2009</w:t>
      </w:r>
    </w:p>
    <w:p>
      <w:pPr>
        <w:pStyle w:val="Heading2"/>
      </w:pPr>
      <w:r>
        <w:t>Regeste</w:t>
      </w:r>
    </w:p>
    <w:p>
      <w:r>
        <w:t>DEGRÉ DE L'INVALIDITÉ, DROIT À LA PRESTATION D'ASSURANCE | 28 al. 1 LAI, 16 LPGA, 8 LPGA</w:t>
      </w:r>
    </w:p>
    <w:p>
      <w:pPr>
        <w:pStyle w:val="Heading2"/>
      </w:pPr>
      <w:r>
        <w:t>Erwägungen</w:t>
      </w:r>
    </w:p>
    <w:p>
      <w:r>
        <w:rPr>
          <w:b/>
        </w:rPr>
        <w:t>E. 1</w:t>
      </w:r>
    </w:p>
    <w:p>
      <w:r>
        <w:t>LPGA).</w:t>
      </w:r>
    </w:p>
    <w:p>
      <w:r>
        <w:rPr>
          <w:b/>
        </w:rPr>
        <w:t>E. 2</w:t>
      </w:r>
    </w:p>
    <w:p>
      <w:r>
        <w:t>La question litigieuse en l'espèce est celle de savoir si c'est à juste titre que l'OAI a refusé à l'assuré l'octroi de toute prestation, faute d'atteinte invalidante au sens de l'AI. a) A l'appui de son recours, M.________, se fondant sur le rapport du Dr T.________, prétend qu'il ne peut plus exercer d'activité professionnelle et que partant, il a droit à une rente entière. De son côté, l'OAI, se référant aux conclusions de l'expert D.________, estime que l'assuré ne présente pas d'atteinte invalidante au sens de l'AI. Il soutient en outre que l'expert explique clairement les raisons pour lesquelles il ne retient pas d'incapacité de travail et considère que les conclusions du Dr T.________ ne sauraient remettre en question les conclusions de l'expert. b) Aux termes de l'art. 8 al. 1 LPGA, est réputée invalidité l'incapacité de gain totale ou partielle qui est présumée permanente ou de longue durée. Cette invalidité peut résulter d'une infirmité congénitale, d'une maladie ou d'un accident (art. 4 al. 1 er LAI).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(art. 7 LPGA). D'après l'art. 28 al. 1 LAI, dans sa version en vigueur dès le 1 er janvier 2004,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p. 352, TF 9C_773/2007 du 23 juin 2008, consid. 2.1).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ainsi il convient en principe d'attacher plus de poids aux constatations d'un expert qu'à celles du médecin traitant (ATF 125 V 351, consid. 3b/cc et les réf.;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consid. 5.2). D'après une jurisprudence constante, l'administration est tenue, au stade de la procédure administrative, de confier une expertise à un médecin indépendant si une telle mesure se révèle nécessaire. Lorsque de telles expertises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(TFA I 129/02 du 29 janvier 2003 ; ATF 125 V 351 consid. 3b/bb). d) L'expertise du Dr D.________ met en évidence les points litigieux importants ayant fait l'objet d'une étude circonstanciée, sur la base d'examens approfondis. L'anamnèse est particulièrement complète et les indications de l'assuré ont été dûment prises en considération. La description du contexte médical et l'appréciation de la situation médicale sont claires. Les conclusions de l'expert sont bien motivées tant en ce qui concerne les diagnostics retenus que s'agissant de l'influence des troubles sur la capacité de travail exigible dans l'activité professionnelle exercée jusqu'en juillet 2003, ce compte tenu des limitations qualitatives et quantitatives en relation avec lesdits troubles. A ce propos, les limitations fonctionnelles constatées pas le Dr T.________ dans son rapport du 2 décembre 2005, telles que l'alternance des positions (assis, debout, marche, accroupie), l'horaire de travail irrégulier, le travail en hauteur sur une échelle et les déplacements sur sol irrégulier ou en pente, n'apparaissent pas être éloignées de celles dégagées par l'expert D.________, qui retient lui-même les limitations suivantes : la nécessité de l'alternance de la position assis-debout, la position accroupie et le port de charges de plus de 20 kg. De même, les deux médecins considèrent qu'une reprise du travail est envisageable, même si cette possibilité paraît invraisemblable au Dr T.________, compte tenu de l'âge et du fait que le recourant n'a plus travaillé depuis 2003. Ainsi, les conclusions de deux experts, outre l'appréciation de la capacité de travail, ne divergent pas. Le rapport du 9 octobre 2008 du Dr T.________ évoquant une prise de poids du recourant et mettant en évidence, de manière générale, une altération de son état de santé depuis le printemps 2007, ne modifie en rien ces dernières appréciations. Au vu de ces éléments, il convient d'accorder pleine valeur probante à l'expertise du Dr D.________ qui est solidement étayée et exempte de contradictions ; elle est suffisante pour permettre à l'autorité de céans de statuer (art. 61 let. c LPGA). C'est ainsi à juste titre que l'OAI, se fondant sur ladite expertise, a retenu une capacité de travail à 70 % dans l'activité de cuisinier et à 100 % dans une activité tenant compte des limitations fonctionnelles. Elle a donc calculé le préjudice économique sur la base du taux de capacité de travail à 70 %.</w:t>
      </w:r>
    </w:p>
    <w:p>
      <w:r>
        <w:rPr>
          <w:b/>
        </w:rPr>
        <w:t>E. 3</w:t>
      </w:r>
    </w:p>
    <w:p>
      <w:r>
        <w:t>a) Le recourant ne conteste pas le montant du revenu annuel retenu par l'OAI en l'absence d'invalidité. Ainsi, il n'y a pas lieu de remettre en question ce gain fixé à 42'146 francs. b) L'OAI a dès lors évalué le préjudice économique en procédant à une approche théorique de la capacité de gain. Selon la jurisprudence, lorsque l'assuré n'a pas repris d'activité professionnelle, on peut se référer aux données statistiques, telles qu'elles résultent des enquête sur la structure des salaire de l'Office fédéral de la statistique (OFS) pour estimer le revenu d'invalide (ATF 126 V 76 consid. 3b/aa et bb). Le moment déterminant pour l'évaluation de l'invalidité est celui de début du droit éventuel à la rente, donc dans la plupart des cas l'échéance du délai d'attente d'une année. Dans la mesure où, in casu, l'incapacité de travail et de gain a été reconnue depuis le mois de décembre 2006, il convient d'arrêter l'année de référence à 2007 (ATF 128 V 174 consid. 4a). Le salaire de référence est celui auquel peuvent prétendre les hommes effectuant des activités simples et répétitives dans le secteur privé (production et services), soit en 2004, 4'588 fr. par mois, part au 13 ème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Vérifiés d'office, les chiffres retenus par l'office intimé s'avèrent exacts. Après adaptation de ce chiffre à l'évolution des salaires nominaux de 2004 à 2007 (+ 3.60 % ; La Vie économique, 10-2006, p. 91, tableau B 10.2), le salaire annuel doit être porté à 59'344 fr. 14.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Dans le cas présent l'abattement de 15 % au maximum retenu par l'OAI sur le revenu d'invalide paraît adéquat compte tenu des limitations fonctionnelles de l'assuré et de son âge. Il doit être confirmé. Le revenu d'invalide se monte alors à 50'442 fr. 40, arrondi à 50'442 fr. (59'344 fr. 14 x 15 %). Comparé au revenu de 42'146 fr. qu'il aurait obtenu sans atteinte à la santé, il en résulte que la capacité de gain n'est pas entamée. Inférieur à 40 %, le degré d'invalidité n'ouvre pas le droit à la rente (art. 28 LAI).</w:t>
      </w:r>
    </w:p>
    <w:p>
      <w:r>
        <w:rPr>
          <w:b/>
        </w:rPr>
        <w:t>E. 4</w:t>
      </w:r>
    </w:p>
    <w:p>
      <w:r>
        <w:t>Il s'ensuit que le recours, mal fondé, doit être rejeté, ce qui entraîne le maintien de la décision de l'OAI du 3 juillet 2008. Compte tenu de l'ampleur de la procédure, les frais de justice sont arrêtés à 250 fr. (art. 69 al. 1bis LAI et art. 2 TFJAS [tarif des frais judiciaires et des dépens en matière de droit des assurances sociales ; RSV 173.36.5.2]), et mis à la charge du recourant, qui succombe (art. 91 LPA-VD). Il n'est en outre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