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1123 vom 5. Februar 2010</w:t>
      </w:r>
    </w:p>
    <w:p>
      <w:r>
        <w:t>VD Tribunal cantonal, 2010-02-05, FR</w:t>
      </w:r>
    </w:p>
    <w:p>
      <w:r>
        <w:rPr>
          <w:b/>
        </w:rPr>
        <w:t xml:space="preserve">Quelle: </w:t>
      </w:r>
      <w:r>
        <w:t>https://mcp.opencaselaw.ch/entscheid/vd_findinfo_Arr_t___2009___1123</w:t>
      </w:r>
    </w:p>
    <w:p>
      <w:r>
        <w:t>FR: VD_FINDINFO Arrêt / 2009 / 1123 du 5 février 2010</w:t>
      </w:r>
    </w:p>
    <w:p>
      <w:r>
        <w:t>IT: VD_FINDINFO Arrêt / 2009 / 1123 del 5 febbraio 2010</w:t>
      </w:r>
    </w:p>
    <w:p>
      <w:pPr>
        <w:pStyle w:val="Heading2"/>
      </w:pPr>
      <w:r>
        <w:t>Regeste</w:t>
      </w:r>
    </w:p>
    <w:p>
      <w:r>
        <w:t>LOI FÉDÉRALE SUR L'ASSURANCE-INVALIDITÉ, RENTE D'INVALIDITÉ, ÉVALUATION DE L'INCAPACITÉ DE TRAVAIL, EXPERTISE MÉDICALE | 28 al. 1 LAI, 4 al. 1 LAI, 4 al. 2 LAI, 7 LPGA, 8 al. 1 LPGA</w:t>
      </w:r>
    </w:p>
    <w:p>
      <w:pPr>
        <w:pStyle w:val="Heading2"/>
      </w:pPr>
      <w:r>
        <w:t>Erwägungen</w:t>
      </w:r>
    </w:p>
    <w:p>
      <w:r>
        <w:rPr>
          <w:b/>
        </w:rPr>
        <w:t>E. 1</w:t>
      </w:r>
    </w:p>
    <w:p>
      <w:r>
        <w:t>Interjeté dans le délai de trente jours dès la notification de la décision sur opposition attaquée et respectant les autres exigences formelles légales, le recours est recevable (art. 60 al. 1 LPGA [loi fédérale du 6 octobre 2000 sur la partie générale du droit des assurances sociales; RS 830.1]). La LPA-VD (loi cantonale vaudoise du 28 octobre 2008 sur la procédure administrative; RSV 173.36), entrée en vigueur le 1 er janvier 2009 et qui s'applique aux recours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w:t>
      </w:r>
    </w:p>
    <w:p>
      <w:r>
        <w:rPr>
          <w:b/>
        </w:rPr>
        <w:t>E. 2</w:t>
      </w:r>
    </w:p>
    <w:p>
      <w:r>
        <w:t>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129 V 4 c. 1.2). Par conséquent, le droit à une rente de l'assurance-invalidité doit être examiné au regard de l'ancien droit pour la période jusqu'au 31 décembre 2002 et, après le 1 er janvier 2003, respectivement le 1 er janvier 2004, en fonction des nouvelles normes de la LPGA et des modifications de la LAI (loi fédérale sur l'assurance-invalidité; RS 831.20) consécutives à la 4 ème révision de cette loi, en vigueur jusqu'au 31 décembre 2007 (ATF 130 V 455; voir également ATF 130 V 329). En revanche, les modifications de la LAI consécutives à la 5 ème révision de cette loi, entrées en vigueur le 1 er janvier 2008, ne sont pas applicables au présent cas, qui doit être examiné au regard des normes légales en vigueur jusqu'au 31 décembre 2007. L'entrée en vigueur de la LPGA n'a pas modifié la définition de l'invalidité et la jurisprudence rendue sous l'empire de l'ancienne loi est ainsi toujours applicable. En tout état de cause, les principes développés jusqu'à ce jour par la jurisprudence en matière d'évaluation de l'invalidité conservent leur validité, que ce soit sous l'empire de la LPGA ou de la</w:t>
      </w:r>
    </w:p>
    <w:p>
      <w:r>
        <w:rPr>
          <w:b/>
        </w:rPr>
        <w:t>E. 4</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Le juge peut accorder valeur probante aux rapports des médecins des assureurs aussi longtemps que ceux-ci aboutissent à des résultats convaincants, que leur conclusions sont bien motivées, que ces avis ne contiennent pas de contradiction et qu'aucun indice concret ne permet de remettre en cause leur bien-fondé (ATF 125 V 351 c. 3b/ee et les références citées). En particulier, la jurisprudence reconnaît qu'un rapport qui émane d'un service médical régional au sens de l'art. 69 al. 4 RAI (règlement du 17 janvier 1961 sur l'assurance-invalidité; RS 831.201) a une valeur probante s'il remplit les exigences requises par la jurisprudence (TF 9C_776/2007 du 14 août 2008; ATFA, 28 octobre 2002, I 523/02, c. 3; ATF 125 V 351 c. 3a).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 3b/cc et les références citées; VSI 2001 p. 106 c. 3b/bb et cc; Frésard/Moser-Szeless, L'assurance-accidents obligatoire, in Schweizerisches Bundesverwaltungsrecht [SBVR], Soziale Sicherheit, 2 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 5.2). En revanche,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 3).</w:t>
      </w:r>
    </w:p>
    <w:p>
      <w:r>
        <w:rPr>
          <w:b/>
        </w:rPr>
        <w:t>E. 5</w:t>
      </w:r>
    </w:p>
    <w:p>
      <w:r>
        <w:t>juin 2007 qu'elles ne pouvaient être cause d'invalidité dans une activité légère, ce qui n'est infirmé par aucun élément médical au dossier. Enfin, les avis des Drs F.________ et D.________, médecins généralistes traitant successifs, n'établissent pas en quoi les paresthésies et lombalgies qu'ils diagnostiquent limiteraient la capacité de travail exigible du recourant et ne sont au demeurant corroborés par aucun autre avis médical. d) Le dossier médical du recourant s'avérant suffisamment complet pour permettre à la cour de céans de statuer, il n'y a dès lors pas lieu d'en compléter l'instruction par la mise en œuvre d'une nouvelle expertise sur le plan somatique, comme le demande le recourant dont la requête en ce sens doit être écartée.</w:t>
      </w:r>
    </w:p>
    <w:p>
      <w:r>
        <w:rPr>
          <w:b/>
        </w:rPr>
        <w:t>E. 6</w:t>
      </w:r>
    </w:p>
    <w:p>
      <w:r>
        <w:t>En conclusion, il convient d'admettre le droit du recourant à une demi-rente d'invalidité fondée sur un degré de 50% depuis le 1 er janvier 2008 (soit au terme du délai d'un an prévu par l'art. 29 al. 1 LAI dans sa version en vigueur jusqu'au 31 décembre 2007), comme le reconnaît l'intimé. Cela étant, le recours doit être admis partiellement et la décision attaquée réformée dans le sens de ce qui précède.</w:t>
      </w:r>
    </w:p>
    <w:p>
      <w:r>
        <w:rPr>
          <w:b/>
        </w:rPr>
        <w:t>E. 7</w:t>
      </w:r>
    </w:p>
    <w:p>
      <w:r>
        <w:t>Il n'y a pas lieu de percevoir des frais judiciaires (art. 52 al. 1 LPA-VD). Obtenant en partie gain de cause, le recourant, assisté d'un avocat, a droit à des dépens, dont le montant doit être fixé, sans égard à la valeur litigieuse, d'après l'importance et la complexité du litige; cette indemnité sera mise à la charge de l'OAI (art. 61 let. g LPGA; art. 55 al. 1 LPA-VD; art. 7 TFJAS [tarif du 2 décembre 2008 des frais judiciaires et des dépens en matière de droit des assurances sociales;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