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1114 vom 16. November 2009</w:t>
      </w:r>
    </w:p>
    <w:p>
      <w:r>
        <w:t>VD Tribunal cantonal, 2009-11-16, FR</w:t>
      </w:r>
    </w:p>
    <w:p>
      <w:r>
        <w:rPr>
          <w:b/>
        </w:rPr>
        <w:t xml:space="preserve">Quelle: </w:t>
      </w:r>
      <w:r>
        <w:t>https://mcp.opencaselaw.ch/entscheid/vd_findinfo_Arr_t___2009___1114</w:t>
      </w:r>
    </w:p>
    <w:p>
      <w:r>
        <w:t>FR: VD_FINDINFO Arrêt / 2009 / 1114 du 16 novembre 2009</w:t>
      </w:r>
    </w:p>
    <w:p>
      <w:r>
        <w:t>IT: VD_FINDINFO Arrêt / 2009 / 1114 del 16 novembre 2009</w:t>
      </w:r>
    </w:p>
    <w:p>
      <w:pPr>
        <w:pStyle w:val="Heading2"/>
      </w:pPr>
      <w:r>
        <w:t>Regeste</w:t>
      </w:r>
    </w:p>
    <w:p>
      <w:r>
        <w:t>RESPONSABILITÉ DE L'EMPLOYEUR{AVS}, RÉVISION{DÉCISION} | 52 LAVS, 53 LPGA</w:t>
      </w:r>
    </w:p>
    <w:p>
      <w:pPr>
        <w:pStyle w:val="Heading2"/>
      </w:pPr>
      <w:r>
        <w:t>Erwägungen</w:t>
      </w:r>
    </w:p>
    <w:p>
      <w:r>
        <w:rPr>
          <w:b/>
        </w:rPr>
        <w:t>E. 1</w:t>
      </w:r>
    </w:p>
    <w:p>
      <w:r>
        <w:t>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largement supérieure à 30'000 fr.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ATF 110 V 48 consid. 4a; RCC 1985 p. 53; TF 9C_439/2007 du 28 février 2008 consid. 2; TFA H 248/03 du 16 juin 2004 consid. 1). b) En l'espèce, est litigieuse la question de savoir si l'autorité intimée était fondée à refuser d'entrer en matière sur la demande de réexamen respectivement de révision présentée par la recourante dans son écriture du 10 août 2009, précisée le 17 août 2009 (cf. lettres A.c et A.d supra). A cet égard, il convient tout d'abord de déterminer les dispositions légales sur lesquelles cette demande peut se fonder. La recourante indique fonder sa demande de réexamen sur les art. 64 ss LPA-VD, singulièrement sur l'art. 64 al. 2 let. b LPA-VD. Ces dispositions prévoient qu'une partie peut demander à l'autorité de réexaminer sa décision (art. 64 al. 1 LPA-VD). L'autorité entre en matière sur la demande notamment si - seule hypothèse entrant en considération en l'espèce - le requérant invoque des faits ou des moyens de preuve importants qu'il ne pouvait pas connaître lors de la première décision ou dont il ne pouvait pas ou n'avait pas de raison de se prévaloir à cette époque (art. 64 al. 2 let. b LPA-VD). Si le requérant entend invoquer l'un des moyens mentionnés à l'art. 64 al. 2 let. b, il doit déposer sa demande dans les nonante jours dès la découverte dudit moyen (art. 65 al. 1 LPA-VD). La demande de réexamen n'a pas d'effet suspensif, sauf décision contraire de l'autorité (art. 65 al. 4 LPA-VD). En invoquant les art. 64 ss LPA-VD, la recourante méconnaît le fait que la procédure devant les autorités administratives en matière d'assurances sociales régies par la législation fédérale - et donc notamment en matière d'AVS - est réglée par les dispositions de la LPGA (art. 2 LPGA et 1 LAVS) et que les dispositions de la LPA-VD relative à la procédure devant les autorités administratives (art. 62 ss LPA-VD) ne lui sont donc pas applicables, à la différence des dispositions de cette loi relatives à la procédure devant le Tribunal cantonal (art. 92 ss LPA-VD), laquelle procédure est réglée par le droit cantonal (art. 61, 1 re phrase, LPGA). c) En l'espèce, la demande de réexamen fondée sur la découverte de faits respectivement de moyens de preuve importants que la recourante ne pouvait pas connaître lors de la première décision (cf. art. 64 al. 2 let. b LPA-VD) doit dès lors être examinée sous l'angle de l'art. 53 al. 1 LPGA, dont les conditions sont fondamentalement les mêmes, puisque cette disposition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demande doit être présentée par écrit dans les 90 jours qui suivent la découverte du motif de révision (art. 67 al. 1 PA, applicable en vertu de l'art. 55 al. 1 LPGA; cf. Kieser, ATSG-Kommentar, 2 e éd. 2009, n. 23 ad art. 53 LPGA). Par faits nouveaux importants, il faut comprendre des faits qui conduiraient à une décision différente de celle qui a été rendue sur la base des faits retenus à l'époque eu égard aux moyens de preuve disponibles à l'époque (Kieser, op. cit., n. 13 ad art. 53 LPGA). Sont "nouveaux" au sens de ces dispositions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(TF C 176/06 du 5 juillet 2007 consid. 3.2.2 et les références citées; voir aussi TF 8C_583/2008 du 9 juin 2009 consid. 4.2). d) Est donc litigieuse la question de savoir si la recourante pouvait demander la révision de la décision de réparation du dommage du 1 er septembre 2004 pour le motif qu'elle avait découvert subséquemment la preuve du fait qu'elle n'avait jamais été valablement inscrite au Registre du commerce comme membre du Conseil de fondation.</w:t>
      </w:r>
    </w:p>
    <w:p>
      <w:r>
        <w:rPr>
          <w:b/>
        </w:rPr>
        <w:t>E. 3</w:t>
      </w:r>
    </w:p>
    <w:p>
      <w:r>
        <w:t>a) La décision de réparation du dommage du 1 er septembre 2004, entrée en force en ce qui concerne la recourante faute pour celle-ci de l'avoir attaquée par la voie de l'opposition, est fondée sur l'art. 52 LAVS.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TF 9C_859/2007 du 16 décembre 2008, consid. 2.1). En outre, selon la jurisprudence, la responsabilité au sens de l' art. 52 LAVS incombe aussi à toutes les personnes qui, sans être désignées formellement en qualité d'organes, prennent en fait les décisions réservées à ces derniers ou se chargent de la gestion proprement dite, soit les organes dits de fait (ATF 126 V 237 consid. 4 p. 239-340; 114 V 78 consid. 3, 213 consid. 3 et les références citées; TFA H 81/03 du 18 janvier 2005 consid. 6.1 et les références citées). b) En l'espèce, il ressort clairement de la décision du 1 er septembre 2004 (cf. lettre A.a supra) que la Caisse a retenu la responsabilité de la recourante en sa qualité de directrice de la Fondation W.________ de juillet 1998 à mai 2002, et non comme membre du Conseil de Fondation, à la différence d'autres responsables qui ont quant à eux été recherchés uniquement en cette dernière qualité. Il s'ensuit que le fait nouveau respectivement le nouveau moyen de preuve invoqué par la recourante, laquelle fait valoir qu'elle n'avait jamais été valablement inscrite au Registre comme membre du Conseil de fondation, est sans incidence sur la décision du 1 er septembre 2004 et ne saurait par conséquent constituer un motif de révision de cette décision. Si la recourante entendait contester la responsabilité qui lui a été imputée dans la décision du 1 er septembre 2004 en tant qu'organe - formel ou de fait - de la Fondation W.________ de juillet 1998 à mai 2002 - dates sur lesquelles elle ne se prévaut pas de moyens de preuve qui auraient été découverts postérieurement à la décision attaquée, mais d'une constatation prétendument inexacte des faits, alors que le fait qu'elle ait été inscrite au Registre du commerce comme directrice en décembre 1997 et non en juillet 1998 est sans pertinence et qu'il n'apparaît par ailleurs en tout cas pas manifestement erroné de retenir, sur le vu des pièces du dossier, qu'elle a exercé cette fonction jusqu'en mai 2002, il lui appartenait de le faire en formant opposition dans les 30 jours dès la notification de cette décision, ce qu'elle n'a pas fait. C'est donc à juste titre que la Caisse n'est pas entrée en matière sur la demande de révision formulée par la recourante quelque cinq ans après que la décision du 1 er septembre 2004 est entrée en force.</w:t>
      </w:r>
    </w:p>
    <w:p>
      <w:r>
        <w:rPr>
          <w:b/>
        </w:rPr>
        <w:t>E. 4</w:t>
      </w:r>
    </w:p>
    <w:p>
      <w:r>
        <w:t>a) Il résulte de ce qui précède que le recours, mal fondé, doit être rejeté, ce qui rend sans objet la requête d'effet suspensif respectivement de mesures provisionnelles formulée par la recourante. b) S'agissant des frais et dépens (art. 91 LPA-VD, applicable par renvoi de l'art. 99 LPA-VD), 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