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1047 vom 6. Oktober 2009</w:t>
      </w:r>
    </w:p>
    <w:p>
      <w:r>
        <w:t>VD Tribunal cantonal, 2009-10-06, FR</w:t>
      </w:r>
    </w:p>
    <w:p>
      <w:r>
        <w:rPr>
          <w:b/>
        </w:rPr>
        <w:t xml:space="preserve">Quelle: </w:t>
      </w:r>
      <w:r>
        <w:t>https://mcp.opencaselaw.ch/entscheid/vd_findinfo_Arr_t___2009___1047</w:t>
      </w:r>
    </w:p>
    <w:p>
      <w:r>
        <w:t>FR: VD_FINDINFO Arrêt / 2009 / 1047 du 6 octobre 2009</w:t>
      </w:r>
    </w:p>
    <w:p>
      <w:r>
        <w:t>IT: VD_FINDINFO Arrêt / 2009 / 1047 del 6 ottobre 2009</w:t>
      </w:r>
    </w:p>
    <w:p>
      <w:pPr>
        <w:pStyle w:val="Heading2"/>
      </w:pPr>
      <w:r>
        <w:t>Regeste</w:t>
      </w:r>
    </w:p>
    <w:p>
      <w:r>
        <w:t>FAUX MATÉRIEL DANS LES TITRES, FAUX INTELLECTUEL DANS LES TITRES | 251 ch. 1 CP, 176 CPP, 296 CPP</w:t>
      </w:r>
    </w:p>
    <w:p>
      <w:pPr>
        <w:pStyle w:val="Heading2"/>
      </w:pPr>
      <w:r>
        <w:t>Erwägungen</w:t>
      </w:r>
    </w:p>
    <w:p>
      <w:r>
        <w:rPr>
          <w:b/>
        </w:rPr>
        <w:t>E. 20</w:t>
      </w:r>
    </w:p>
    <w:p>
      <w:r>
        <w:t>ad art. 251 CP, p. 188), que l'aptitude à servir de preuve résulte de la loi ou des usages commerciaux (ATF 120 IV 361, c. 2a), que le fait que le titre doit être en mesure de prouver doit en outre avoir une portée juridique, qu'ainsi, le titre doit convaincre d'un fait dont dépend notamment la naissance, l'existence, la modification, l'extinction ou la modification d'un droit (Corboz, op. cit., vol. II, n. 27 ad art. 251 CP, p. 189), que l'art. 251 ch. 1 CP vise non seulement un titre faux ou la falsification d'un titre (faux matériel), mais aussi un titre mensonger (faux intellectuel), qu'il y a faux matériel lorsque l'auteur réel ne coïncide pas avec l'auteur apparent, alors que le faux intellectuel vise un titre qui émane de son auteur apparent, mais qui est mensonger dans la mesure où son contenu ne correspond pas à la réalité (TF, 29 avril 2004, 6S.93/2004, c. 1.3; ATF 126 IV 65, c. 2a); attendu, en l'occurrence, qu'il ressort du dossier que les lettres datées des 31 mars et 24 septembre 2009 et produites devant la Préfecture du district de P._____ par F.________ ont été établies sous une fausse signature et un faux papier à en-tête (cf. P. 4/4 et 4/5), que le Garage S.________ SA, par courrier du 2 septembre 2009 a attesté que ces courriers n'avaient pas été faits par l'un de ses collaborateurs (cf. P. 4/7), que ces courriers ont été produits par F.________ dans le cadre d'une procédure devant la Préfecture du district de P._____ afin, d'une part, d'attester qu'un test anti-pollution avait été effectué en septembre 2008 et, d'autre part, d'échapper à une sanction pour ne pas avoir effectué le contrôle anti-pollution dans les délais, que F.________ aurait ainsi fabriqué ses lettres et produit celles-ci dans le cadre d'une procédure afin d'améliorer sa situation, qu'au vu de ces éléments, ce dernier pourrait s'être rendu coupable de faux dans les titres au sens de l'art. 251 ch. 1 CP, que toute condamnation n'est dès lors pas d'emblée exclue, qu'il appartiendra au magistrat instructeur d'instruire la plainte, notamment en entendant F.________ sur les faits qui lui sont reprochés; attendu, en définitive, que le recours est admis et l'ordonnance annulée, que le dossier de la cause est renvoyé au magistrat instructeur afin qu'il instruise la plainte dans le sens des considérants, puis rende une nouvelle décision, que les frais du présent arrêt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