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1035 vom 2. Oktober 2009</w:t>
      </w:r>
    </w:p>
    <w:p>
      <w:r>
        <w:t>VD Tribunal cantonal, 2009-10-02, FR</w:t>
      </w:r>
    </w:p>
    <w:p>
      <w:r>
        <w:rPr>
          <w:b/>
        </w:rPr>
        <w:t xml:space="preserve">Quelle: </w:t>
      </w:r>
      <w:r>
        <w:t>https://mcp.opencaselaw.ch/entscheid/vd_findinfo_Arr_t___2009___1035</w:t>
      </w:r>
    </w:p>
    <w:p>
      <w:r>
        <w:t>FR: VD_FINDINFO Arrêt / 2009 / 1035 du 2 octobre 2009</w:t>
      </w:r>
    </w:p>
    <w:p>
      <w:r>
        <w:t>IT: VD_FINDINFO Arrêt / 2009 / 1035 del 2 ottobre 2009</w:t>
      </w:r>
    </w:p>
    <w:p>
      <w:pPr>
        <w:pStyle w:val="Heading2"/>
      </w:pPr>
      <w:r>
        <w:t>Regeste</w:t>
      </w:r>
    </w:p>
    <w:p>
      <w:r>
        <w:t>LOI FÉDÉRALE SUR LES PRESTATIONS COMPLÉMENTAIRES À L'AVS ET À L'AI, PRESTATION COMPLÉMENTAIRE, REVENU DÉTERMINANT, REVENU HYPOTHÉTIQUE, DESSAISISSEMENT DE FORTUNE | 2 al. 1 LPC, 3a al. 1 LPC, 3c al. 1 let. a LPC, 3c al. 1 let. g LPC</w:t>
      </w:r>
    </w:p>
    <w:p>
      <w:pPr>
        <w:pStyle w:val="Heading2"/>
      </w:pPr>
      <w:r>
        <w:t>Erwägungen</w:t>
      </w:r>
    </w:p>
    <w:p>
      <w:r>
        <w:rPr>
          <w:b/>
        </w:rPr>
        <w:t>E. 0</w:t>
      </w:r>
    </w:p>
    <w:p>
      <w:r>
        <w:t>469.- - autres revenus C) DEDUCTIONS - entretien forfaitaire : couverture des besoins vitaux 26460.- - loyer annuel net : Fr.        6'000.- plus Fr.       0.-  de charges réelles mais au maximum Fr. 15'000.- 6000.- […] TOTAL DES DEDUCTIONS (C) 32460.- TOTAL DES REVENUS (B) 53321.-  ». C. D.________ a recouru cette décision sur opposition auprès du Tribunal des assurances le 12 juillet 2006, en concluant implicitement à sa réforme en ce sens que le montant du loyer du studio est pris en compte et que le calcul effectué n'est pas limité à la fin de l'année 2006, mais valable pour une durée indéterminée. Il reproche en substance à la caisse d'avoir retenu un salaire hypothétique calculé sur la base du revenu obtenu par son épouse durant un contrat de durée déterminée, dès lors que depuis la fin de cette activité, la situation du couple est identique à celle précédant le remplacement temporaire. Il expose avoir besoin d'une assistance constante pour tous ses déplacements, raison pour laquelle son épouse a délibérément cessé toute activité lucrative, afin de lui assurer une bonne qualité de vie. Il ajoute que cette dernière n'a accepté dit emploi provisoire que pour aider un ami et compte tenu du fait que sa belle-mère a consenti à apporter son soutien dans l'intervalle, les différentes tentatives de recourir à une aide pour handicapés s'étant soldées par un échec. Dans sa réponse du 6 septembre 2006, la CCVD conclut au rejet du recours. Elle fait valoir que le recourant n'est pas au bénéfice d'une allocation pour impotent et que la méthode consistant à retenir un gain hypothétique ramenant le montant de la prestation complémentaire à celui que toucherait une personne seule, appliquée à titre bienveillant, ne repose toutefois sur aucune disposition légale et s'éloigne par trop de la capacité de gain effective de l'épouse de l'intéressé, de sorte qu'elle ne saurait être maintenue. Elle relève en outre que l'argument selon lequel l'assuré aurait besoin en tout temps de son épouse est démenti par le fait que celle-ci a été en mesure de répondre favorablement à la sollicitation d'un ami en le remplaçant pendant six mois et que si sa belle-mère a pu se substituer à cette dernière pendant cette période, il n'y a pas de raison qu'une professionnelle de la santé en soit incapable. Dans leur échange d'écritures subséquent, les parties ont maintenu leur position. A la demande du recourant, une audience d'instruction a été tenue par le Tribunal des assurances le 3 avril 2007, au cours de laquelle les parties sont convenues d'une suspension de la procédure jusqu'à droit connu sur la demande d'allocation d'impotence déposée par l'intéressé auprès de l'Office de l'assurance-invalidité pour le canton de Vaud. Par décision entrée en force du 5 mai 2008, produite par la caisse, celle-ci a nié le droit aux prestations complémentaires de l'intéressé depuis le</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 il satisfait en outre aux autres conditions légales (art. 61 let. b LPGA), de sorte qu'il est recevable en la forme. c) En l'espèce, seule demeure litigieuse la question du versement des prestations complémentaires pour les mois de janvier à mars 2007. La valeur litigieuse étant ainsi inférieure à 30'000 fr., la présente cause relève de la compétence d'un membre de la Cour des assurances sociales statuant comme juge unique (art. 94 al. 1 let. a LPA-VD).</w:t>
      </w:r>
    </w:p>
    <w:p>
      <w:r>
        <w:rPr>
          <w:b/>
        </w:rPr>
        <w:t>E. 2</w:t>
      </w:r>
    </w:p>
    <w:p>
      <w:r>
        <w:t>a) En vertu de l'art. 2 al. 1 LPC (loi fédérale du 19 mars 1965 sur les prestations complémentaires à l'assurance-vieillesse, survivants et invalidité, dans sa teneur en vigueur jusqu'au 31 décembre 2007 ; cf. ATF 132 V 215 consid. 3.1.1), les ressortissants suisses qui ont leur domicile et leur résidence habituelle en Suisse et qui remplissent une des conditions prévues aux art. 2a à 2d doivent bénéficier de prestations complémentaires si les dépenses reconnues par ladite loi sont supérieures aux revenus déterminants. Le montant de la prestation complémentaire annuelle correspond à la part des dépenses reconnues qui excède les revenus déterminants (art. 3a al. 1 LPC). Conformément à l'art. 3c al. 1 let. g LPC, les revenus déterminants comprennent notamment les ressources et parts de fortune dont un ayant droit s'est dessaisi. Par dessaisissement, il faut entendre, en particulier, la renonciation à des éléments de revenu ou de fortune sans obligation juridique ni contre-prestation équivalente (ATF 123 V 35 consid. 1 ; ATF 121 V 204 consid. 4a ; TF 8C_591/2008 du 31 juillet 2009, consid. 3.1 ; TF P 55/05 du 26 janvier 2007, consid. 3). Cette disposition est directement applicable lorsque l'épouse d'un assuré s'abstient de mettre en valeur sa capacité de gain, alors qu'elle pourrait se voir obligée d'exercer une activité lucrative en vertu de l'art. 163 CC (code civil suisse du 10 décembre 1907, RS 210). Il appartient à l'administration ou, en cas de recours, au juge d'examiner si l'on peut exiger de l'intéressée qu'elle exerce une activité lucrative et, le cas échéant, de fixer le salaire qu'elle pourrait en retirer en faisant preuve de bonne volonté. Pour ce faire, il convient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voire au temps plus ou moins long pendant lequel elle aura été éloignée de la vie professionnelle (ATF 134 V 53 consid. 4.1 et les références ; TF 8C_722/2007 du 17 juillet 2008, consid. 3.1). Le revenu de l'activité lucrative potentielle devra alors, en vertu de l'art. 3c al. 1 let. a in fine LPC, être pris en compte à raison des deux tiers seulement (ATF 117 V 287 consid. 3c et la référence ; TF 8C_274/2007 du 8 janvier 2008, consid. 4.2 ; TFA P 88/01 du 8 octobre 2002, consid. 2.2). S'agissant du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(TF 8C_655/2007 du 26 juin 2008, consid. 5.2 et les références). Quant à l'évaluation du salaire hypothétique, le Tribunal fédéral des assurances a admis qu'elle le soit en fonction de l'Enquête suisse sur la structure des salaires (ci-après : ESS) de l'Office fédéral de la statistique (TFA P 38/05 du 25 août 2006, consid. 4.1). b) En l'espèce, il est établi que le recourant a besoin de l'aide de son épouse à raison de 70 à 80 heures par mois s'étendant sur tous les jours de celui-ci, ce qui représente un peu plus de 2 heures par jour (cf. CASSO AI 310/08 - 225/2009 du 20 juillet 2009). L'épouse a travaillé pendant six mois à mi-temps, alors que le recourant avait ainsi besoin de son aide. Il ressort du dossier que cette dernière, âgée de 42 ans lors de la prise de décision litigieuse, est titulaire d'une licence universitaire et qu'elle ne souhaite pas chercher de travail. Par conséquent, en prenant pour base le salaire à mi-temps qu'elle a gagné pendant six mois, il apparaît que la caisse intimée a tenu compte d'un gain hypothétique adéquat. En effet, selon l'ESS 2006, les revenus annuels pour une femme ayant des connaissances professionnelles spécialisées (TA1, niveau de qualification 3) travaillant à mi-temps atteindraient 30'974 fr. 76 (4'952 fr. x 41,7 = 206'498 fr. 40 : 40 = 5'162 fr. 46 x 12 = 61'949 fr. 52 : 2). Après déduction d'un forfait pour couple de 1'500 fr. (cf. art. 3c al. 1 let. a LPC) et une fois rapporté aux deux tiers du solde, un montant de 19'650 fr. peut être retenu à titre de gain potentiel de l'épouse du recourant. En reprenant le calcul effectué par la caisse dans sa décision du 30 juin 2006 relative à la période du 1 er mars au 30 avril 2006, dont les autres éléments ne sont pas contestés, les revenus compte tenu de ce dernier montant s'élèveraient ainsi à 44'611 fr. (1'680 fr. + 19'650 fr. + 15'660 fr. + 7'152 fr. + 469 fr.) qui, sous déduction de 32'460 fr., laissent encore un dépassement de 12'151 francs. Dès lors que la déduction forfaitaire pour l'assurance obligatoire de soins est de 9'456 fr., le recourant n'aurait pas droit non plus à un subside. c) Enfin, c'est à bon droit que la CCVD a considéré la demande de prestations du 15 mars 2006 comme une nouvelle demande, dans la mesure où le recourant n'avait plus droit à des prestations complémentaires pendant six mois, de sorte que la caisse était légitimée à rendre une décision différente de celles rendues précédemment.</w:t>
      </w:r>
    </w:p>
    <w:p>
      <w:r>
        <w:rPr>
          <w:b/>
        </w:rPr>
        <w:t>E. 3</w:t>
      </w:r>
    </w:p>
    <w:p>
      <w:r>
        <w:t>Au vu de ce qui précède, le recours se révèle mal fondé et doit donc être rejeté, ce qui entraîne le maintien de la décision entreprise. Il n'y a pas lieu de percevoir de frais judiciaires, la procédure étant gratuite (art. 61 let. a LPGA), ni d'allouer de dépens (art. 91 LPA-VD, applicable par renvoi de l'art. 99 LPA-VD, et art. 55 LPA-VD). Par ces motifs, le juge unique prononce : I. Le recours est rejeté. II. La décision attaquée est maintenue. III. Le présent arrêt est rendu sans frais ni dépens. Le juge unique : La greffière : Du L'arrêt qui précède est notifié à : ‑ D.________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