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6/16 - 9/2018 vom 14. Februar 2018</w:t>
      </w:r>
    </w:p>
    <w:p>
      <w:r>
        <w:t>VD Tribunal cantonal, 2018-02-14, FR</w:t>
      </w:r>
    </w:p>
    <w:p>
      <w:r>
        <w:rPr>
          <w:b/>
        </w:rPr>
        <w:t xml:space="preserve">Quelle: </w:t>
      </w:r>
      <w:r>
        <w:t>https://mcp.opencaselaw.ch/entscheid/vd_findinfo_AVS_6_16_-_9_2018</w:t>
      </w:r>
    </w:p>
    <w:p>
      <w:r>
        <w:t>FR: VD_FINDINFO AVS 6/16 - 9/2018 du 14 février 2018</w:t>
      </w:r>
    </w:p>
    <w:p>
      <w:r>
        <w:t>IT: VD_FINDINFO AVS 6/16 - 9/2018 del 14 febbraio 2018</w:t>
      </w:r>
    </w:p>
    <w:p>
      <w:pPr>
        <w:pStyle w:val="Heading2"/>
      </w:pPr>
      <w:r>
        <w:t>Regeste</w:t>
      </w:r>
    </w:p>
    <w:p>
      <w:r>
        <w:t>DROIT COMMUNAUTAIRE, ACTIVITÉ LUCRATIVE INDÉPENDANTE, REVENU D'UNE ACTIVITÉ LUCRATIVE INDÉPENDANTE, FRANCE, ACCORDS BILATÉRAUX ENTRE LA SUISSE ET L'UE, FIXATION DES COTISATIONS | 9 LAVS, 6 RAVS, 13 Règl. 883/2004</w:t>
      </w:r>
    </w:p>
    <w:p>
      <w:pPr>
        <w:pStyle w:val="Heading2"/>
      </w:pPr>
      <w:r>
        <w:t>Erwägungen</w:t>
      </w:r>
    </w:p>
    <w:p>
      <w:r>
        <w:rPr>
          <w:b/>
        </w:rPr>
        <w:t>E. 5</w:t>
      </w:r>
    </w:p>
    <w:p>
      <w:r>
        <w:t>a) Le Titre II du règlement (CE) n° 883/2004 (art. 1 à 16) contient des règles qui permettent de déterminer la législation applicable pour toute la généralité des cas. L’art. 11 par. 1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par. 2 précise par ailleurs que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salariée est exercée dans un Etat membre, les critères du temps de travail et/ou de la rémunération doivent être pris en compte ; la réunion de moins de 25% des critères précités indiquera qu'une partie substantielle des activités n'est pas exercée dans l'Etat membre concerné (cf. art. 14 par. 8 du règlement (CE) n° 987/2009 et TF [Tribunal fédéral] 8C_580/2015 du 26 avril 2016 consid. 6.1). b) In casu, vu les dispositions précitées, il convient d’observer que le recourant est exclusivement soumis à la législation de l’Etat de sa résidence, soit la Suisse, où il exerce au demeurant une partie substantielle de son activité. Il n’est en effet pas contesté que l’activité déployée par le recourant en France est uniquement accessoire et que l’essentiel des revenus réalisés découle de l’activité indépendante de médecin hypnothérapeute en Suisse. Il s’ensuit que c’est à bon droit que l’intimée a considéré que la situation du recourant devait être tranchée à l’aune du droit suisse.</w:t>
      </w:r>
    </w:p>
    <w:p>
      <w:r>
        <w:rPr>
          <w:b/>
        </w:rPr>
        <w:t>E. 6</w:t>
      </w:r>
    </w:p>
    <w:p>
      <w:r>
        <w:t>a) Aux termes de l'art. 5 al. 2 LAVS, on considère comme salaire déterminant toute rémunération pour un travail dépendant, fourni pour un temps déterminé ou indéterminé. A contrario, le revenu provenant d’une activité indépendante comprend tout revenu du travail autre que la rémunération pour un travail accompli dans une situation dépendante (art.</w:t>
      </w:r>
    </w:p>
    <w:p>
      <w:r>
        <w:rPr>
          <w:b/>
        </w:rPr>
        <w:t>E. 9</w:t>
      </w:r>
    </w:p>
    <w:p>
      <w:r>
        <w:t>Sur le vu de l’exposé qui précède, le recours doit être rejeté et la décision sur opposition litigieuse confirmée. a) En vertu du droit fédéral, la procédure est gratuite (cf. art. 61 let. a LPGA). b) Il n’y a par ailleurs pas lieu d’allouer des dépens, ni au recourant, qui succombe, ni à la caisse intimée, qui n’y a pas droit en sa qualité d’assureur social (cf. art. 61 let. g LPGA et 55 al. 1 LPA-VD ; cf. ATF 128 V 323 ; 127 V 205 ; 126 V 143). Par ces motifs, la juge unique prononce : I. Le recours est rejeté, dans la mesure où il est recevable. II. La décision sur opposition rendue le 7 mars 2016 par la Caisse cantonale vaudoise de compensation est confirmée. III. Il n’est pas perçu de frais judiciaires, ni alloué de dépens. La juge unique :               La greffière : Du L'arrêt qui précède est notifié, par l'envoi de photocopies, à : ‑ Me Regina Andrade Ortuno, à Montreux (pour B.________),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