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53/12 - 12/2013 vom 20. März 2013</w:t>
      </w:r>
    </w:p>
    <w:p>
      <w:r>
        <w:t>VD Tribunal cantonal, 2013-03-20, FR</w:t>
      </w:r>
    </w:p>
    <w:p>
      <w:r>
        <w:rPr>
          <w:b/>
        </w:rPr>
        <w:t xml:space="preserve">Quelle: </w:t>
      </w:r>
      <w:r>
        <w:t>https://mcp.opencaselaw.ch/entscheid/vd_findinfo_AVS_53_12_-_12_2013</w:t>
      </w:r>
    </w:p>
    <w:p>
      <w:r>
        <w:t>FR: VD_FINDINFO AVS 53/12 - 12/2013 du 20 mars 2013</w:t>
      </w:r>
    </w:p>
    <w:p>
      <w:r>
        <w:t>IT: VD_FINDINFO AVS 53/12 - 12/2013 del 20 marzo 2013</w:t>
      </w:r>
    </w:p>
    <w:p>
      <w:pPr>
        <w:pStyle w:val="Heading2"/>
      </w:pPr>
      <w:r>
        <w:t>Regeste</w:t>
      </w:r>
    </w:p>
    <w:p>
      <w:r>
        <w:t>RETRAIT{VOIE DE DROIT}, RADIATION DU RÔLE | 94 al. 1 let. c LPA-VD</w:t>
      </w:r>
    </w:p>
    <w:p>
      <w:pPr>
        <w:pStyle w:val="Heading2"/>
      </w:pPr>
      <w:r>
        <w:t>Erwägungen</w:t>
      </w:r>
    </w:p>
    <w:p>
      <w:r>
        <w:rPr>
          <w:b/>
        </w:rPr>
        <w:t>E. 28</w:t>
      </w:r>
    </w:p>
    <w:p>
      <w:r>
        <w:t>octobre 2008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BfB Fidam révision SA (pour A.X.________ et B.X.________),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