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47/11 - 56/2014 vom 16. Dezember 2014</w:t>
      </w:r>
    </w:p>
    <w:p>
      <w:r>
        <w:t>VD Tribunal cantonal, 2014-12-16, FR</w:t>
      </w:r>
    </w:p>
    <w:p>
      <w:r>
        <w:rPr>
          <w:b/>
        </w:rPr>
        <w:t xml:space="preserve">Quelle: </w:t>
      </w:r>
      <w:r>
        <w:t>https://mcp.opencaselaw.ch/entscheid/vd_findinfo_AVS_47_11_-_56_2014</w:t>
      </w:r>
    </w:p>
    <w:p>
      <w:r>
        <w:t>FR: VD_FINDINFO AVS 47/11 - 56/2014 du 16 décembre 2014</w:t>
      </w:r>
    </w:p>
    <w:p>
      <w:r>
        <w:t>IT: VD_FINDINFO AVS 47/11 - 56/2014 del 16 dicembre 2014</w:t>
      </w:r>
    </w:p>
    <w:p>
      <w:pPr>
        <w:pStyle w:val="Heading2"/>
      </w:pPr>
      <w:r>
        <w:t>Regeste</w:t>
      </w:r>
    </w:p>
    <w:p>
      <w:r>
        <w:t>COTISATION PARITAIRE, AVS, CAISSE DE COMPENSATION{AVS/AI}, MESURE D'INSTRUCTION{ASSURANCE SOCIALE} | 319 CO, 16 al. 1 LAVS, 52 LAVS</w:t>
      </w:r>
    </w:p>
    <w:p>
      <w:pPr>
        <w:pStyle w:val="Heading2"/>
      </w:pPr>
      <w:r>
        <w:t>Erwägungen</w:t>
      </w:r>
    </w:p>
    <w:p>
      <w:r>
        <w:rPr>
          <w:b/>
        </w:rPr>
        <w:t>E. 3</w:t>
      </w:r>
    </w:p>
    <w:p>
      <w:r>
        <w:t>L’action en réparation du dommage n’étant pas prescrite, il convient à présent d’examiner si les autres conditions de la responsabilité de l’art. 52 LAVS sont réalisées, à savoir si les recourants peuvent être considérés comme étant des employeurs tenus de verser les cotisations à l’intimée, s’ils ont commis une faute ou une négligence grave et, enfin, s’il existe un lien de causalité adéquate entre leur comportement et le dommage causé à l’intimée. a) L'art. 14 al. 1 LAVS (en corrélation avec les art. 34 ss RAVS [règlement du 31 octobre 1947 sur l'assurance-vieillesse et survivants;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Selon la jurisprudence, pour que l'organe, formel ou de fait,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b) L’art. 809 al. 1 CO (loi fédérale du 30 mars 1911 complétant le code civil suisse [Livre cinquième: Droit des obligations];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Mélanie Fretz, La responsabilité selon l’art. 52 LAVS : une comparaison avec les art. 78 LPGA et 52 LPP, in: HAVE/REAS 3/2009 p. 238, spéc. p. 242).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c) Dans certaines circonstances,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(ATF 108 V 183 consid. 2, confirmé dans ATF 121 V 243; voir également, parmi d’autres, TF 9C_338/2007 du 21 avril 2008 consid. 3.1).</w:t>
      </w:r>
    </w:p>
    <w:p>
      <w:r>
        <w:rPr>
          <w:b/>
        </w:rPr>
        <w:t>E. 4</w:t>
      </w:r>
    </w:p>
    <w:p>
      <w:r>
        <w:t>a) En l'espèce, les recourants sont inscrits au Registre du commerce en qualité d’associé-gérant, avec signature individuelle ou collective à deux, depuis le 23 février 2005, l’inscription en question ayant été radiée pour certains au plus tôt le 15 juillet 2010. Cela étant, chacun des recourants est indiscutablement un organe de la société pour la période pertinente, de sorte que leur responsabilité peut être engagée au sens de l’art. 52 LAVS. b) Le dommage consiste en la perte de la créance de cotisations pour l’année 2005 d’un montant de 15'374 fr. 70 subie par l'intimée et composée d'arriérés de cotisations sociales par 12'102 fr. 10 et des intérêts moratoires par 3'272 fr. 60 (cf. pièce n°1 du bordereau annexé à la décision du 7 septembre 2011). Pour l'essentiel, les recourants réfutent leur qualité d'employeur en faisant valoir que les personnes qui figurent sur le rapport de contrôle du 17 mai 2011 pour l’année 2005 notamment sont des travailleurs indépendants. Ils en déduisent qu’ils n'ont pas à supporter l'échec de cette preuve et que, par rapport à eux, les chauffeurs poids lourds doivent être considérés comme des travailleurs indépendants ou, du moins, que des mesures d'instruction complémentaires sont nécessaires pour déterminer leur véritable statut. c) aa) Il convient tout d’abord de déterminer si les chauffeurs poids lourds étaient obligatoirement assujettis à l'assurance-vieillesse, survivants et invalidité suisse pour l’année 2005. Présentant un caractère transfrontalier, dans la mesure où les sept chauffeurs résidaient au [...] tout en travaillant en Suisse, le litige doit être tranché non seulement au regard des normes du droit suisse en matière d'AVS, mais également à la lumière des dispositions de l'ALCP (Accord du 21 juin 1999 entre la Confédération suisse, d'une part, et la Communauté européenne et ses Etats membres, d'autre part, sur la libre circulation des personnes; RS 0.142.112.681) et des règlements auxquels il renvoie.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Une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Compte tenu de la période en cause (année 2005), le litige doit être tranché sous l'angle du Règlement (CEE) n° 1408/71. Le Titre II du règlement n°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(ATF 133 V 137 consid. 6.1; ATF 133 V 169 consid. 5.1; ATF 132 V 53 consid. 4.1; ATF 132 V 244 consid. 4.3). Selon l'art. 13 par. 2 let. b du règlement n° 1408/71, la personne qui exerce une activité non salariée sur le territoire d'un Etat membre est soumise à la législation de cet Etat même si elle réside sur le territoire d'un autre Etat membre. En dérogation à cette règle, l'art. 14bis par. 2 du règlement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(première phrase). L’« activité salariée » et l’« activité non salariée » telles que désignées aux art. 14 bis et 14 quater de ce règlement correspondent aux activités considérées comme telles dans le cadre des dispositions légales sur la sécurité sociale de l’Etat membre dans lequel l’activité est exercée. Il n’existe par conséquent pas de définition autonome dans le droit communautaire de sorte que les définitions du droit national en cause sont déterminantes (ATF 138 V 533; Directives sur l’assujettissement aux assurances AVS et AI [DAA], n° 2013 s.) (TF 9C_62/2013 du 27 mai 2013 consid. 2.3). bb) Il est dès lors nécessaire de déterminer au préalable, selon le droit suisse, comment l’activité des chauffeurs pour le compte de X.________ doit être qualifiée, ce qui permettra ensuite de désigner la norme de conflit pertinente et le droit applicable. Dès lors, contrairement à l'opinion de l’intimée, on ne saurait se passer d'examiner si les recourants avaient la position d'employeur par rapport aux chauffeurs poids lourd pour l’année 2005. Il ressort du dossier que si dans un premier temps (courrier du 15 novembre 2010), les recourants ont annoncé pour 2005 la rémunération d’un seul chauffeur – soit F.________ – à hauteur de 2'500 fr., le contrôle d’employeur du 17 mai 2011 a mis en évidence que ce chauffeur avait en réalité perçu du 1 er septembre au 31 décembre 2005 un montant brut de 15'614 francs. Par ailleurs, il s’est avéré que six chauffeurs supplémentaires avaient travaillé en 2005, soit G.________ (du 1 er novembre au 31 décembre 2005; montant brut de 8’089 fr.), H.________ (du 1 er au 30 octobre 2005; montant brut de 6’705 fr.), D.________ (du 1 er septembre au 31 décembre 2005; montant brut de 15’614 fr.), L.________ (du 1 er octobre au 31 décembre 2005; montant brut de 14’708 fr.), V.________ (du 1 er octobre au 31 décembre 2005; montant brut de 10’744 fr.) et M.________ (du 1 er octobre au 31 décembre 2005; montant brut de 14’094 fr.) pour un montant brut total de 85'226 fr. (montant comprenant également celui d’F.________ de 15'272 fr.). Le dossier ne contient toutefois qu’un contrat de travail signé en juin 2004 par F.________ valable une année dès le 1 er août 2004, lequel prévoyait notamment un « temps d’essai », un « salaire », un droit aux vacances de I’« employé », des frais de voyage à la charge de I’« employeur », soit des éléments qui sont manifestement caractéristiques du contrat de travail. Néanmoins, il sied de rappeler que le chauffeur précité n’a finalement œuvré que dès le 1 er septembre 2005, soit au-delà du délai d’un an fixé par le contrat de travail. Certes, il ne ressort nullement du dossier que les chauffeurs en question se seraient annoncés comme travailleurs indépendants pour leur activité auprès de X.________ en 2005 ou auraient entrepris des démarches allant dans ce sens. Par ailleurs, il n'a pas été constaté ni allégué qu’ils seraient inscrits dans un registre professionnel ou enregistrés auprès des assurances sociales, en Suisse ou à l'étranger, en tant qu'indépendants, ni qu'ils auraient eu en 2005 des mandats en cette qualité en Suisse ou à l'étranger, ni qu'ils disposeraient d'un matériel propre pour exécuter leur travail. Si le statut d'indépendant des chauffeurs en Suisse n'a pas été démontré par les recourants, cela ne permet pas encore de conclure que les recourants ont la qualité d'employeur des chauffeurs. Pour cela, il faut que les chauffeurs en question puissent être considérés comme des travailleurs au sens des art. 319 ss CO. cc) Selon l'art. 319 al. 1 CO, le contrat individuel de travail est celui par lequel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une rémunération et un élément de durée (cf. Rémy Wyler, Droit du travail, 2008, p. 57 s.). Or, la décision attaquée ne contient aucune constatation sur les conditions dans lesquelles les personnes en question ont été engagées pour l’année 2005. On ne connaît ainsi pas les modalités précises de la rémunération des chauffeurs en 2005, ni les éventuels défraiements convenus. L’intimée n’a pas davantage constaté de faits pertinents concernant, plus largement, l'existence d'un éventuel risque économique à la charge de l'une ou l'autre des parties et, le cas échéant, sa répartition entre celles-ci. Finalement, il n'est pas possible de dire si c'est à bon droit que les rémunérations versées à des chauffeurs ont été considérées comme revenus d'une activité dépendante soumise à cotisations et si, dans l'affirmative, les organes de la société ont commis une négligence grave en retenant, à l'inverse, que ces rémunérations représentaient le revenu d'une activité indépendante. Le rapport du 12 mars 2008 établi par le SDE ne permet pas de répondre à cette question, puisque le contrôle des inspecteurs du Contrôle du marché du travail s’est limité à l’année 2007. Certes, comme l’a relevé l’intimée, le dossier ne contient aucun formulaire E101 (actuellement formulaire A1) lequel permet de déterminer la législation applicable à un travailleur qui n’est pas affilié dans le pays où il travaille et de prouver qu’il verse des cotisations sociales dans son pays d'origine. Toutefois, l’absence de ce formulaire ne permet pas à lui seul de conclure que les chauffeurs en question exerçaient une activité dépendante et que la société devait verser les cotisations paritaires y relatives. Enfin, dans l’hypohèse où l’intimée parvient à la conclusion que les rémunérations versées en 2005 représentaient le revenu d’une activité dépendante, il conviendra de déterminer si l’activité relativement courte déployée par les chauffeurs en question en 2005 doit être examinée sous l’angle de l’art. 2 RAVS.</w:t>
      </w:r>
    </w:p>
    <w:p>
      <w:r>
        <w:rPr>
          <w:b/>
        </w:rPr>
        <w:t>E. 5</w:t>
      </w:r>
    </w:p>
    <w:p>
      <w:r>
        <w:t>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pour l’année 2005, l’intimée n’a pas examiné le bien-fondé de la décision de cotisations sous l'angle de la qualification des revenus sujets à reprise. Un tel examen était pourtant nécessaire, car s'il se révélait qu'en réalité les chauffeurs devaient être qualifiés d'indépendants, aucune omission ne pourrait être reprochée aux recourants sous l'angle de l'art. 52 LAVS en relation avec leur activité. Il appert donc que les constatations de la décision attaquée qui permettraient de conclure à une faute grave au sens de l'art. 52 LAVS sont lacunaires. L’intimée a dès lors omis d'ordonner des mesures d'instructions de base et de ce fait constitué un dossier incomplet. Compte tenu de ces circonstances particulières, le renvoi de la cause à l'intimée – auquel il appartient au premier chef d'instruire, conformément au principe inquisitoire qui régit la procédure dans le domaine des assurances sociales, selon l'art. 43 al. 1 LPGA  – apparaît comme étant la solution la plus opportune. Il se justifie donc de lui renvoyer l'affaire pour qu'elle en complète l'instruction conformément au considérant 4 c/cc ci-dessus, puis rende une nouvelle décision.</w:t>
      </w:r>
    </w:p>
    <w:p>
      <w:r>
        <w:rPr>
          <w:b/>
        </w:rPr>
        <w:t>E. 6</w:t>
      </w:r>
    </w:p>
    <w:p>
      <w:r>
        <w:t>Au vu de ce qui précède, il convient d’admettre le recours, d'annuler la décision attaquée et de renvoyer la cause à l’intimée pour qu'elle établisse les faits nécessaires pour trancher ces questions, le cas échéant en mettant en oeuvre les mesures d'instruction complémentaires utiles. Après quoi seulement, et si la responsabilité des recourants est admise dans son principe, il conviendra de fixer l'étendue du dommage qui devra être supporté par les recourants. Il n'y a pas lieu de percevoir de frais de justice, la procédure étant en principe gratuite (art. 61 let. a LPGA). Les recourants, qui obtiennent gain de cause avec le concours d'un mandataire, ont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l'intimée, qui succombe (art. 55 al. 2 LPA-VD). Par ces motifs, la juge unique prononce : I. Le recours est admis II. La décision sur opposition rendue le 24 novembre 2011 par la Caisse cantonale vaudoise de compensation AVS pour le canton de Vaud est annulée, la cause étant renvoyée à dite caisse pour complément d'instruction au sens des considérants. III. Il n'est pas perçu de frais de justice. IV. La Caisse cantonale vaudoise de compensation AVS versera aux recourants un montant de 2'500 fr. (deux mille cinq cents francs) à titre de dépens. La juge unique :               La greffière : Du L'arrêt qui précède est notifié à : ‑ Me Roberto Izzo, avocat à Lausanne (pour les recourants), ‑ Caisse cantonale vaudoise de compensation AVS, à Clarens,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