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45/12 - 1/2013 vom 8. Januar 2013</w:t>
      </w:r>
    </w:p>
    <w:p>
      <w:r>
        <w:t>VD Tribunal cantonal, 2013-01-08, FR</w:t>
      </w:r>
    </w:p>
    <w:p>
      <w:r>
        <w:rPr>
          <w:b/>
        </w:rPr>
        <w:t xml:space="preserve">Quelle: </w:t>
      </w:r>
      <w:r>
        <w:t>https://mcp.opencaselaw.ch/entscheid/vd_findinfo_AVS_45_12_-_1_2013</w:t>
      </w:r>
    </w:p>
    <w:p>
      <w:r>
        <w:t>FR: VD_FINDINFO AVS 45/12 - 1/2013 du 8 janvier 2013</w:t>
      </w:r>
    </w:p>
    <w:p>
      <w:r>
        <w:t>IT: VD_FINDINFO AVS 45/12 - 1/2013 del 8 gennaio 2013</w:t>
      </w:r>
    </w:p>
    <w:p>
      <w:pPr>
        <w:pStyle w:val="Heading2"/>
      </w:pPr>
      <w:r>
        <w:t>Regeste</w:t>
      </w:r>
    </w:p>
    <w:p>
      <w:r>
        <w:t>REVENU DÉTERMINANT, ACTIVITÉ LUCRATIVE INDÉPENDANTE, ACTIVITÉ LUCRATIVE DÉPENDANTE, EXAMEN{EN GÉNÉRAL}, COURTAGE, HONORAIRES | 5 al. 2 LAVS, 9 al. 1 LAVS</w:t>
      </w:r>
    </w:p>
    <w:p>
      <w:pPr>
        <w:pStyle w:val="Heading2"/>
      </w:pPr>
      <w:r>
        <w:t>Erwägungen</w:t>
      </w:r>
    </w:p>
    <w:p>
      <w:r>
        <w:rPr>
          <w:b/>
        </w:rPr>
        <w:t>E. 1</w:t>
      </w:r>
    </w:p>
    <w:p>
      <w:r>
        <w:t>a) Interjeté dans le délai légal de 30 jours suivant la notification de la décision entreprise (art. 60 al. 1 LPGA),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b) La valeur litigieuse – correspondant en l'occurrence au montant des cotisations paritaires réclamées à la recourante en lien avec l'activité déployée en 2008 par P.________, par 4'683 fr. 05 – n'excédant pas 30'000 fr., la présente cause relève de la compétence d'un membre du Tribunal cantonal statuant en tant que juge unique (art. 94 al. 1 let. a LPA-VD).</w:t>
      </w:r>
    </w:p>
    <w:p>
      <w:r>
        <w:rPr>
          <w:b/>
        </w:rPr>
        <w:t>E. 2</w:t>
      </w:r>
    </w:p>
    <w:p>
      <w:r>
        <w:t>Le litige porte sur la question du statut de salarié ou de personne de condition indépendante de P.________ pour son activité de courtage exercée en 2008, partant la question de l'assujettissement de la recourante, s'agissant des cotisations paritaires relatives à l'activité en cause, auprès de l'autorité intimée.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[loi fédérale du 20 décembre 1946 sur l’assurance-vieillesse et survivants, RS 831.10]; art. 6 ss RAVS [règlement fédéral du 31 octobre 1947 sur l'assurance-vieillesse et survivants, RS 831.101]). Aux termes de l'art. 5 al. 2, 1 ère phrase, LAVS, le salaire déterminant comprend toute rémunération pour un travail dépendant, fourni pour un temps déterminé ou indéterminé. Quant au revenu provenant d'une activité indépendante, il comprend, selon l'art. 9 al. 1 LAVS, tout revenu du travail autre que la rémunération pour un travail accompli dans une situation dépendante. Selon la jurisprudence, la question de savoir si l'on a affaire, dans un cas donné, à une activité indépendante ou salariée ne doit pas être tranchée d'après la nature juridique du rapport contractuel entre les partenaires. Les rapports de droit civil peuvent certes fournir éventuellement quelques indices pour la qualification en matière d'AVS, mais ne sont pas déterminants; ce qui est déterminant, bien plutôt, ce sont les circonstances économiques.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l'ensemble des circonstances. Souvent, on trouvera des caractéristiques appartenant à ces deux genres d'activité; pour trancher, on se demandera quels éléments sont prédominants dans le cas concret (ATF 123 V 161, consid. 1 et les références; TF H 19/06 du 14 février 2007, consid. 3.1). b) L’Office fédéral des assurances sociales (OFAS) a établi des Directives sur le salaire déterminant (DSD) dans I’AVS, Al et APG, valables dès le 1 er janvier 2008 (reprenant en substance la teneur de la version antérieure, valable du 1 er janvier 2002 au 31 décembre 2007),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(cf. ATF 132 V 121); il ne s’en écarte toutefois que dans la mesure où elles établissent des normes qui ne sont pas conformes aux dispositions légales applicables (ATF 130 V 229, consid. 2.1 et les références). En rapport avec la définition du salaire déterminant, s’agissant de la notion de situation dépendante, le ch.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 1014 DSD, constituent notamment des indices révélant l’existence d’un risque économique d’entrepreneur le fait que l’assuré: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 Quant au rapport social de dépendance économique, respectivement dans l'organisation du travail, du salarié, il se manifeste notamment par l'existence (ch. 1015 DSD): – d'un droit de donner des instructions au salarié; ­ – d'un rapport de subordination; – de l'obligation de remplir la tâche personnellement; – d'une prohibition de faire concurrence; – d'un devoir de présence. Les différents critères posés aux ch. 1014 et 1015 DSD sont conformes aux dispositions légales applicables; ils correspondent au demeurant, dans une large mesure à tout le moins, à ceux dégagés à cet égard par la jurisprudence (cf. TF H 6/05 et H 23/05 du 19 mai 2006, consid. 2.3 et les références). c) Il n'existe pas de présomption juridique en faveur de l'activité salariée ou indépendante (ch. 1020 DSD). On peut en outre, suivant les circonstances particulières de chaque cas, donner la prépondérance soit au critère du risque économique, soit à celui du rapport de dépendance, ou à leurs manifestations respectives (ch. 1017 DSD). Ainsi certaines activités économiques, notamment dans le domaine des services, n'exigent-elles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précité, consid. 5.1 et les références; ch. 1018 DSD).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1996, ch. m. 159 ad art. 5 LAVS); TF 8C_367/2011 du 12 avril 2012 consid. 5.1), à la différence de la représentation commerciale (TFA H 227/87 du 10 février 1988, consid. 3c, publié dans RCC 1988 p. 314).</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w:t>
      </w:r>
    </w:p>
    <w:p>
      <w:r>
        <w:rPr>
          <w:b/>
        </w:rPr>
        <w:t>E. 3.2</w:t>
      </w:r>
    </w:p>
    <w:p>
      <w:r>
        <w:t>et 3.3; 126 V 360 consid. 5b, 125 V 195 consid. 2). Il n'existe pas, en droit des assurances sociales, un principe selon lequel l'administration ou le juge devrait statuer, dans le doute, en faveur de l'assuré (ATF 126 V 322 consid. 5a).</w:t>
      </w:r>
    </w:p>
    <w:p>
      <w:r>
        <w:rPr>
          <w:b/>
        </w:rPr>
        <w:t>E. 4</w:t>
      </w:r>
    </w:p>
    <w:p>
      <w:r>
        <w:t>a) En l'occurrence, l'intimée a conclu que les honoraires de courtage payés par la recourante à P.________ devaient être considérés comme un salaire, ce dernier n'étant ni inscrit au Registre du commerce ni annoncé comme indépendant vis-à-vis de l'AVS/AI. Toutefois, le fait que la personne concernée ne soit pas affiliée à une caisse de compensation au moment des faits litigieux, ou bien qu'elle ne soit pas inscrite au registre du commerce ne constituent pas des circonstances permettant de distinguer un revenu provenant d'une activité dépendante d'un revenu provenant d'une activité indépendante. Comme la jurisprudence l'a précisé, seul un examen détaillé de l'ensemble des circonstances concrètes du cas d'espèce permet de déterminer si l'on est en présence d'une activité dépendante ou indépendante. L'intimée aurait ainsi dû notamment déterminer si P.________ recevait des instructions de la recourante ou s'il n'avait aucun lien de subordination, c'est-à-dire si ses rapports avec la recourante se limitaient à lui proposer une affaire immobilière. En outre, on ignore si P.________ percevait une rémunération seulement si la vente aboutissait de sorte qu'il conviendrait d'admettre qu'il supportait le risque de l'entrepreneur indépendant, malgré l'absence d'investissement ou de personnel, critère non déterminant dans le cadre de courtiers et de conseillers personnels, selon la jurisprudence. En l'absence d'investissement, le rapport de dépendance est alors mis au premier plan et la rétribution à qualifier doit être considérée pour elle-même, d'après la situation dans laquelle se trouve la personne considérée au moment où elle acquiert cette rétribution. Enfin, bien que le critère de la liberté d'organisation du travail ne soit pas seul déterminant, aucun élément ne permet de savoir si P.________ avait l'obligation contractuelle de proposer un nombre déterminé ou même une seule affaire immobilière à la recourante ou était totalement libre de le faire ou pas, à sa seule convenance. b) Au vu de ce qui précède, il convient de constater que l'intimée n'a pas établi l'ensemble des circonstances permettant de retenir une accumulation prépondérante d'indices attestant l'existence d'une activité indépendante ou d'une activité dépendante. En l'état, l'instruction s'avère dès lors insuffisante et ne permet pas au Tribunal de statuer en connaissance de cause. Il n'appartient toutefois pas au Tribunal d'y remédier en lieu et place de l'intimée, de sorte que la cause doit être renvoyée à cette dernière pour complément d'instruction et nouvelle décision. L'intimée veillera en outre à respecter le droit d'être entendu de P.________, lequel est directement concerné par la procédure.</w:t>
      </w:r>
    </w:p>
    <w:p>
      <w:r>
        <w:rPr>
          <w:b/>
        </w:rPr>
        <w:t>E. 5</w:t>
      </w:r>
    </w:p>
    <w:p>
      <w:r>
        <w:t>a) En définitive, le recours doit être admis, la décision attaquée annulée et la cause renvoyée à l'autorité intimée pour qu'elle procède aux mesures d'instruction nécessaires à l'établissement des faits de la cause et rende une nouvelle décision. b) La recourante, qui obtient gain de cause avec le concours d'un mandataire professionnel, a droit à une indemnité à titre de dépens, dont le montant doit être déterminé, sans égard à la valeur de litigieuse, d'après l'importance et de la complexité du litige (art. 61 let. g LPGA; art. 55 al. 1 LPA-VD). En l'espèce, il y a lieu d'arrêter le montant des dépens à 1'000 fr. à la charge de l'autorité intimée, qui succombe (art. 55 al. 2 LPA-VD). c) Le présent arrêt est rendu sans frais (art. 61 let. a LPGA). Par ces motifs, le juge unique prononce : I. Le recours est admis. II. La décision sur opposition rendue le 20 juillet 2012 par la Caisse C.________ est annulée et la cause lui est renvoyée pour instruction complémentaire et nouvelle décision au sens des considérants. III. La Caisse C.________ versera à la recourante une indemnité de 1'000 fr. (mille francs) à titre de dépens. IV. Il n'est pas perçu de frais de justice. Le juge unique :               La greffière : Du L'arrêt qui précède est notifié à : ‑ Actua Fiduciaire SA (pour la recourante), à Lausanne, ‑ Caisse C.________ (intimée),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