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AVS 32/15 - 18/2016 vom 28. April 2016</w:t>
      </w:r>
    </w:p>
    <w:p>
      <w:r>
        <w:t>VD Tribunal cantonal, 2016-04-28, FR</w:t>
      </w:r>
    </w:p>
    <w:p>
      <w:r>
        <w:rPr>
          <w:b/>
        </w:rPr>
        <w:t xml:space="preserve">Quelle: </w:t>
      </w:r>
      <w:r>
        <w:t>https://mcp.opencaselaw.ch/entscheid/vd_findinfo_AVS_32_15_-_18_2016</w:t>
      </w:r>
    </w:p>
    <w:p>
      <w:r>
        <w:t>FR: VD_FINDINFO AVS 32/15 - 18/2016 du 28 avril 2016</w:t>
      </w:r>
    </w:p>
    <w:p>
      <w:r>
        <w:t>IT: VD_FINDINFO AVS 32/15 - 18/2016 del 28 aprile 2016</w:t>
      </w:r>
    </w:p>
    <w:p>
      <w:pPr>
        <w:pStyle w:val="Heading2"/>
      </w:pPr>
      <w:r>
        <w:t>Regeste</w:t>
      </w:r>
    </w:p>
    <w:p>
      <w:r>
        <w:t>RENTE POUR ENFANT, AVS | 22ter al. 1 LAVS, 49 RAVS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Il découle de ce qui précède que le recours doit être admis et la décision attaquée annulée, la cause étant renvoyée à l’intimée pour complément d’instruction et nouvelle décision au sens des considérants. b) Le présent arrêt est rendu sans frais (cf. art. 61 let. a LPGA). Le recourant, qui obtient gain de cause sans l’assistance d’un mandataire professionnel, n’a pas droit à des dépens (cf. art. 61 let. g LPGA et 55 al. 1 LPA-VD par renvoi de l’art. 99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